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C0" w:rsidRDefault="0002294E" w:rsidP="0002294E">
      <w:pPr>
        <w:pStyle w:val="Heading1"/>
      </w:pPr>
      <w:bookmarkStart w:id="0" w:name="_Toc472511250"/>
      <w:bookmarkStart w:id="1" w:name="_Toc473894323"/>
      <w:bookmarkStart w:id="2" w:name="_Toc505847210"/>
      <w:bookmarkStart w:id="3" w:name="_Toc509215894"/>
      <w:r>
        <w:rPr>
          <w:noProof/>
          <w:lang w:eastAsia="en-GB"/>
        </w:rPr>
        <w:drawing>
          <wp:inline distT="0" distB="0" distL="0" distR="0">
            <wp:extent cx="3358504" cy="7855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 3.png"/>
                    <pic:cNvPicPr/>
                  </pic:nvPicPr>
                  <pic:blipFill>
                    <a:blip r:embed="rId8">
                      <a:extLst>
                        <a:ext uri="{28A0092B-C50C-407E-A947-70E740481C1C}">
                          <a14:useLocalDpi xmlns:a14="http://schemas.microsoft.com/office/drawing/2010/main" val="0"/>
                        </a:ext>
                      </a:extLst>
                    </a:blip>
                    <a:stretch>
                      <a:fillRect/>
                    </a:stretch>
                  </pic:blipFill>
                  <pic:spPr>
                    <a:xfrm>
                      <a:off x="0" y="0"/>
                      <a:ext cx="3358504" cy="785591"/>
                    </a:xfrm>
                    <a:prstGeom prst="rect">
                      <a:avLst/>
                    </a:prstGeom>
                  </pic:spPr>
                </pic:pic>
              </a:graphicData>
            </a:graphic>
          </wp:inline>
        </w:drawing>
      </w:r>
      <w:bookmarkEnd w:id="0"/>
      <w:bookmarkEnd w:id="1"/>
      <w:bookmarkEnd w:id="2"/>
      <w:bookmarkEnd w:id="3"/>
    </w:p>
    <w:p w:rsidR="0002294E" w:rsidRDefault="0002294E" w:rsidP="00C67E00">
      <w:pPr>
        <w:pStyle w:val="Heading1"/>
        <w:jc w:val="left"/>
        <w:rPr>
          <w:rFonts w:ascii="Arial" w:hAnsi="Arial" w:cs="Arial"/>
          <w:b/>
        </w:rPr>
      </w:pPr>
      <w:bookmarkStart w:id="4" w:name="_Toc472499691"/>
    </w:p>
    <w:p w:rsidR="00C67E00" w:rsidRPr="001633EC" w:rsidRDefault="008A0EE1" w:rsidP="00C67E00">
      <w:pPr>
        <w:pStyle w:val="Heading1"/>
        <w:jc w:val="left"/>
        <w:rPr>
          <w:rFonts w:ascii="Arial" w:hAnsi="Arial" w:cs="Arial"/>
          <w:b/>
        </w:rPr>
      </w:pPr>
      <w:bookmarkStart w:id="5" w:name="_Toc472511251"/>
      <w:bookmarkStart w:id="6" w:name="_Toc473894324"/>
      <w:bookmarkStart w:id="7" w:name="_Toc505847211"/>
      <w:bookmarkStart w:id="8" w:name="_Toc509215895"/>
      <w:r>
        <w:rPr>
          <w:rFonts w:ascii="Arial" w:hAnsi="Arial" w:cs="Arial"/>
          <w:b/>
        </w:rPr>
        <w:t>Alterations</w:t>
      </w:r>
      <w:r w:rsidR="00C67E00" w:rsidRPr="001633EC">
        <w:rPr>
          <w:rFonts w:ascii="Arial" w:hAnsi="Arial" w:cs="Arial"/>
          <w:b/>
        </w:rPr>
        <w:t xml:space="preserve"> Policy</w:t>
      </w:r>
      <w:bookmarkEnd w:id="4"/>
      <w:bookmarkEnd w:id="5"/>
      <w:bookmarkEnd w:id="6"/>
      <w:bookmarkEnd w:id="7"/>
      <w:bookmarkEnd w:id="8"/>
    </w:p>
    <w:p w:rsidR="00C67E00" w:rsidRDefault="00C67E00" w:rsidP="00797CE4"/>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27"/>
        <w:gridCol w:w="4153"/>
        <w:gridCol w:w="2042"/>
      </w:tblGrid>
      <w:tr w:rsidR="00C67E00" w:rsidRPr="001633EC" w:rsidTr="00E9289A">
        <w:tc>
          <w:tcPr>
            <w:tcW w:w="1781" w:type="pct"/>
            <w:shd w:val="clear" w:color="auto" w:fill="DDDCDE" w:themeFill="accent6" w:themeFillTint="33"/>
          </w:tcPr>
          <w:p w:rsidR="00C67E00" w:rsidRPr="001633EC" w:rsidRDefault="00C67E00" w:rsidP="00C67E00">
            <w:pPr>
              <w:spacing w:before="60" w:after="60"/>
              <w:rPr>
                <w:rFonts w:ascii="Arial" w:hAnsi="Arial"/>
                <w:b/>
                <w:szCs w:val="24"/>
              </w:rPr>
            </w:pPr>
            <w:r w:rsidRPr="001633EC">
              <w:rPr>
                <w:rFonts w:ascii="Arial" w:hAnsi="Arial"/>
                <w:b/>
                <w:szCs w:val="24"/>
              </w:rPr>
              <w:t>Name</w:t>
            </w:r>
          </w:p>
        </w:tc>
        <w:tc>
          <w:tcPr>
            <w:tcW w:w="2158" w:type="pct"/>
            <w:shd w:val="clear" w:color="auto" w:fill="DDDCDE" w:themeFill="accent6" w:themeFillTint="33"/>
          </w:tcPr>
          <w:p w:rsidR="00C67E00" w:rsidRPr="001633EC" w:rsidRDefault="00C67E00" w:rsidP="00C67E00">
            <w:pPr>
              <w:spacing w:before="60" w:after="60"/>
              <w:rPr>
                <w:rFonts w:ascii="Arial" w:hAnsi="Arial"/>
                <w:b/>
                <w:szCs w:val="24"/>
              </w:rPr>
            </w:pPr>
            <w:r w:rsidRPr="001633EC">
              <w:rPr>
                <w:rFonts w:ascii="Arial" w:hAnsi="Arial"/>
                <w:b/>
                <w:szCs w:val="24"/>
              </w:rPr>
              <w:t>Reason for change</w:t>
            </w:r>
          </w:p>
        </w:tc>
        <w:tc>
          <w:tcPr>
            <w:tcW w:w="1061" w:type="pct"/>
            <w:shd w:val="clear" w:color="auto" w:fill="DDDCDE" w:themeFill="accent6" w:themeFillTint="33"/>
          </w:tcPr>
          <w:p w:rsidR="00C67E00" w:rsidRPr="001633EC" w:rsidRDefault="00C67E00" w:rsidP="00C67E00">
            <w:pPr>
              <w:spacing w:before="60" w:after="60"/>
              <w:rPr>
                <w:rFonts w:ascii="Arial" w:hAnsi="Arial"/>
                <w:b/>
                <w:szCs w:val="24"/>
              </w:rPr>
            </w:pPr>
            <w:r w:rsidRPr="001633EC">
              <w:rPr>
                <w:rFonts w:ascii="Arial" w:hAnsi="Arial"/>
                <w:b/>
                <w:szCs w:val="24"/>
              </w:rPr>
              <w:t>Date</w:t>
            </w:r>
          </w:p>
        </w:tc>
      </w:tr>
      <w:tr w:rsidR="00C67E00" w:rsidRPr="001633EC" w:rsidTr="00C67E00">
        <w:tc>
          <w:tcPr>
            <w:tcW w:w="1781" w:type="pct"/>
          </w:tcPr>
          <w:p w:rsidR="00C67E00" w:rsidRPr="001633EC" w:rsidRDefault="00791BB3" w:rsidP="00C67E00">
            <w:pPr>
              <w:spacing w:before="60" w:after="60"/>
              <w:rPr>
                <w:rFonts w:ascii="Arial" w:hAnsi="Arial"/>
                <w:szCs w:val="24"/>
              </w:rPr>
            </w:pPr>
            <w:r>
              <w:rPr>
                <w:rFonts w:ascii="Arial" w:hAnsi="Arial"/>
                <w:szCs w:val="24"/>
              </w:rPr>
              <w:t>Lizzie Williams</w:t>
            </w:r>
          </w:p>
        </w:tc>
        <w:tc>
          <w:tcPr>
            <w:tcW w:w="2158" w:type="pct"/>
          </w:tcPr>
          <w:p w:rsidR="00C67E00" w:rsidRPr="001633EC" w:rsidRDefault="00C67E00" w:rsidP="00C67E00">
            <w:pPr>
              <w:spacing w:before="60" w:after="60"/>
              <w:rPr>
                <w:rFonts w:ascii="Arial" w:hAnsi="Arial"/>
                <w:b/>
                <w:szCs w:val="24"/>
              </w:rPr>
            </w:pPr>
            <w:r w:rsidRPr="001633EC">
              <w:rPr>
                <w:rFonts w:ascii="Arial" w:hAnsi="Arial"/>
                <w:b/>
                <w:szCs w:val="24"/>
              </w:rPr>
              <w:t>Original author</w:t>
            </w:r>
          </w:p>
        </w:tc>
        <w:tc>
          <w:tcPr>
            <w:tcW w:w="1061" w:type="pct"/>
          </w:tcPr>
          <w:p w:rsidR="00C67E00" w:rsidRPr="001633EC" w:rsidRDefault="00BB08C0" w:rsidP="00791BB3">
            <w:pPr>
              <w:spacing w:before="60" w:after="60"/>
              <w:rPr>
                <w:rFonts w:ascii="Arial" w:hAnsi="Arial"/>
                <w:szCs w:val="24"/>
              </w:rPr>
            </w:pPr>
            <w:r>
              <w:rPr>
                <w:rFonts w:ascii="Arial" w:hAnsi="Arial"/>
                <w:szCs w:val="24"/>
              </w:rPr>
              <w:t>February 2018</w:t>
            </w:r>
          </w:p>
        </w:tc>
      </w:tr>
    </w:tbl>
    <w:p w:rsidR="00C67E00" w:rsidRPr="001633EC" w:rsidRDefault="007D78F7" w:rsidP="00C67E00">
      <w:pPr>
        <w:pStyle w:val="Heading1"/>
        <w:jc w:val="left"/>
        <w:rPr>
          <w:rFonts w:ascii="Arial" w:hAnsi="Arial" w:cs="Arial"/>
          <w:sz w:val="26"/>
          <w:szCs w:val="26"/>
        </w:rPr>
      </w:pPr>
      <w:bookmarkStart w:id="9" w:name="_Toc472499692"/>
      <w:bookmarkStart w:id="10" w:name="_Toc472511252"/>
      <w:bookmarkStart w:id="11" w:name="_Toc473894325"/>
      <w:bookmarkStart w:id="12" w:name="_Toc505847212"/>
      <w:bookmarkStart w:id="13" w:name="_Toc509215896"/>
      <w:r w:rsidRPr="001633EC">
        <w:rPr>
          <w:rFonts w:ascii="Arial" w:hAnsi="Arial" w:cs="Arial"/>
          <w:sz w:val="26"/>
          <w:szCs w:val="26"/>
        </w:rPr>
        <w:t>Approval process for current version</w:t>
      </w:r>
      <w:bookmarkEnd w:id="9"/>
      <w:bookmarkEnd w:id="10"/>
      <w:bookmarkEnd w:id="11"/>
      <w:bookmarkEnd w:id="12"/>
      <w:bookmarkEnd w:id="13"/>
    </w:p>
    <w:tbl>
      <w:tblPr>
        <w:tblpPr w:leftFromText="180" w:rightFromText="180" w:vertAnchor="text" w:tblpY="13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55"/>
        <w:gridCol w:w="4382"/>
      </w:tblGrid>
      <w:tr w:rsidR="00C67E00" w:rsidRPr="001633EC" w:rsidTr="00172924">
        <w:tc>
          <w:tcPr>
            <w:tcW w:w="1551" w:type="pct"/>
            <w:shd w:val="clear" w:color="auto" w:fill="DDDCDE" w:themeFill="accent6" w:themeFillTint="33"/>
          </w:tcPr>
          <w:p w:rsidR="00C67E00" w:rsidRPr="001633EC" w:rsidRDefault="00C67E00" w:rsidP="00C67E00">
            <w:pPr>
              <w:spacing w:before="60" w:after="60"/>
              <w:rPr>
                <w:rFonts w:ascii="Arial" w:hAnsi="Arial"/>
                <w:b/>
                <w:szCs w:val="24"/>
              </w:rPr>
            </w:pPr>
            <w:r w:rsidRPr="001633EC">
              <w:rPr>
                <w:rFonts w:ascii="Arial" w:hAnsi="Arial"/>
                <w:b/>
                <w:szCs w:val="24"/>
              </w:rPr>
              <w:t>Presented to</w:t>
            </w:r>
          </w:p>
        </w:tc>
        <w:tc>
          <w:tcPr>
            <w:tcW w:w="1172" w:type="pct"/>
            <w:shd w:val="clear" w:color="auto" w:fill="DDDCDE" w:themeFill="accent6" w:themeFillTint="33"/>
          </w:tcPr>
          <w:p w:rsidR="00C67E00" w:rsidRPr="001633EC" w:rsidRDefault="00C67E00" w:rsidP="00C67E00">
            <w:pPr>
              <w:spacing w:before="60" w:after="60"/>
              <w:rPr>
                <w:rFonts w:ascii="Arial" w:hAnsi="Arial"/>
                <w:b/>
                <w:szCs w:val="24"/>
              </w:rPr>
            </w:pPr>
            <w:r w:rsidRPr="001633EC">
              <w:rPr>
                <w:rFonts w:ascii="Arial" w:hAnsi="Arial"/>
                <w:b/>
                <w:szCs w:val="24"/>
              </w:rPr>
              <w:t>Date</w:t>
            </w:r>
          </w:p>
        </w:tc>
        <w:tc>
          <w:tcPr>
            <w:tcW w:w="2277" w:type="pct"/>
            <w:shd w:val="clear" w:color="auto" w:fill="DDDCDE" w:themeFill="accent6" w:themeFillTint="33"/>
          </w:tcPr>
          <w:p w:rsidR="00C67E00" w:rsidRPr="001633EC" w:rsidRDefault="00C67E00" w:rsidP="00C67E00">
            <w:pPr>
              <w:spacing w:before="60" w:after="60"/>
              <w:rPr>
                <w:rFonts w:ascii="Arial" w:hAnsi="Arial"/>
                <w:b/>
                <w:szCs w:val="24"/>
              </w:rPr>
            </w:pPr>
            <w:r w:rsidRPr="001633EC">
              <w:rPr>
                <w:rFonts w:ascii="Arial" w:hAnsi="Arial"/>
                <w:b/>
                <w:szCs w:val="24"/>
              </w:rPr>
              <w:t>Outcome</w:t>
            </w:r>
          </w:p>
        </w:tc>
      </w:tr>
      <w:tr w:rsidR="00C67E00" w:rsidRPr="001633EC" w:rsidTr="00172924">
        <w:tc>
          <w:tcPr>
            <w:tcW w:w="1551" w:type="pct"/>
            <w:shd w:val="clear" w:color="auto" w:fill="auto"/>
          </w:tcPr>
          <w:p w:rsidR="00C67E00" w:rsidRPr="00172924" w:rsidRDefault="00172924" w:rsidP="00C67E00">
            <w:pPr>
              <w:spacing w:before="60" w:after="60"/>
              <w:rPr>
                <w:rFonts w:ascii="Arial" w:hAnsi="Arial"/>
                <w:szCs w:val="24"/>
              </w:rPr>
            </w:pPr>
            <w:r w:rsidRPr="00172924">
              <w:rPr>
                <w:rFonts w:ascii="Arial" w:hAnsi="Arial"/>
                <w:szCs w:val="24"/>
              </w:rPr>
              <w:t>Services Committee</w:t>
            </w:r>
          </w:p>
        </w:tc>
        <w:tc>
          <w:tcPr>
            <w:tcW w:w="1172" w:type="pct"/>
            <w:shd w:val="clear" w:color="auto" w:fill="auto"/>
          </w:tcPr>
          <w:p w:rsidR="00C67E00" w:rsidRPr="00172924" w:rsidRDefault="003208BA" w:rsidP="00C67E00">
            <w:pPr>
              <w:spacing w:before="60" w:after="60"/>
              <w:rPr>
                <w:rFonts w:ascii="Arial" w:hAnsi="Arial"/>
                <w:szCs w:val="24"/>
              </w:rPr>
            </w:pPr>
            <w:r>
              <w:rPr>
                <w:rFonts w:ascii="Arial" w:hAnsi="Arial"/>
                <w:szCs w:val="24"/>
              </w:rPr>
              <w:t>August 2018</w:t>
            </w:r>
          </w:p>
        </w:tc>
        <w:tc>
          <w:tcPr>
            <w:tcW w:w="2277" w:type="pct"/>
            <w:shd w:val="clear" w:color="auto" w:fill="auto"/>
          </w:tcPr>
          <w:p w:rsidR="00C67E00" w:rsidRPr="00172924" w:rsidRDefault="003208BA" w:rsidP="00C67E00">
            <w:pPr>
              <w:spacing w:before="60" w:after="60"/>
              <w:rPr>
                <w:rFonts w:ascii="Arial" w:hAnsi="Arial"/>
                <w:szCs w:val="24"/>
              </w:rPr>
            </w:pPr>
            <w:r>
              <w:rPr>
                <w:rFonts w:ascii="Arial" w:hAnsi="Arial"/>
                <w:szCs w:val="24"/>
              </w:rPr>
              <w:t>Approved</w:t>
            </w:r>
          </w:p>
        </w:tc>
      </w:tr>
    </w:tbl>
    <w:p w:rsidR="00C67E00" w:rsidRDefault="000736A6" w:rsidP="00C67E00">
      <w:r>
        <w:t xml:space="preserve"> </w:t>
      </w:r>
    </w:p>
    <w:p w:rsidR="00C67E00" w:rsidRPr="001633EC" w:rsidRDefault="00C67E00" w:rsidP="00C67E00">
      <w:pPr>
        <w:pStyle w:val="Heading4"/>
        <w:rPr>
          <w:rFonts w:ascii="Arial" w:hAnsi="Arial" w:cs="Arial"/>
          <w:i w:val="0"/>
          <w:sz w:val="26"/>
          <w:szCs w:val="26"/>
        </w:rPr>
      </w:pPr>
      <w:r w:rsidRPr="001633EC">
        <w:rPr>
          <w:rFonts w:ascii="Arial" w:hAnsi="Arial" w:cs="Arial"/>
          <w:b w:val="0"/>
          <w:i w:val="0"/>
          <w:sz w:val="26"/>
          <w:szCs w:val="26"/>
        </w:rPr>
        <w:t>C</w:t>
      </w:r>
      <w:r w:rsidR="007D78F7" w:rsidRPr="001633EC">
        <w:rPr>
          <w:rFonts w:ascii="Arial" w:hAnsi="Arial" w:cs="Arial"/>
          <w:b w:val="0"/>
          <w:i w:val="0"/>
          <w:sz w:val="26"/>
          <w:szCs w:val="26"/>
        </w:rPr>
        <w:t>ontents</w:t>
      </w:r>
      <w:bookmarkStart w:id="14" w:name="_GoBack"/>
      <w:bookmarkEnd w:id="14"/>
    </w:p>
    <w:p w:rsidR="00612A0E" w:rsidRPr="00612A0E" w:rsidRDefault="00E04A89" w:rsidP="00612A0E">
      <w:pPr>
        <w:pStyle w:val="TOC1"/>
        <w:tabs>
          <w:tab w:val="right" w:leader="dot" w:pos="9622"/>
        </w:tabs>
        <w:rPr>
          <w:rFonts w:asciiTheme="minorHAnsi" w:eastAsiaTheme="minorEastAsia" w:hAnsiTheme="minorHAnsi" w:cstheme="minorBidi"/>
          <w:noProof/>
          <w:sz w:val="16"/>
          <w:szCs w:val="16"/>
          <w:lang w:eastAsia="en-GB"/>
        </w:rPr>
      </w:pPr>
      <w:r w:rsidRPr="001633EC">
        <w:rPr>
          <w:rFonts w:cs="Arial"/>
          <w:sz w:val="22"/>
          <w:szCs w:val="22"/>
        </w:rPr>
        <w:fldChar w:fldCharType="begin"/>
      </w:r>
      <w:r w:rsidR="00C67E00" w:rsidRPr="001633EC">
        <w:rPr>
          <w:rFonts w:cs="Arial"/>
          <w:sz w:val="22"/>
          <w:szCs w:val="22"/>
        </w:rPr>
        <w:instrText xml:space="preserve"> TOC \h \z \t "Heading 1,1" </w:instrText>
      </w:r>
      <w:r w:rsidRPr="001633EC">
        <w:rPr>
          <w:rFonts w:cs="Arial"/>
          <w:sz w:val="22"/>
          <w:szCs w:val="22"/>
        </w:rPr>
        <w:fldChar w:fldCharType="separate"/>
      </w:r>
    </w:p>
    <w:p w:rsidR="00612A0E" w:rsidRDefault="003208BA">
      <w:pPr>
        <w:pStyle w:val="TOC1"/>
        <w:tabs>
          <w:tab w:val="left" w:pos="440"/>
          <w:tab w:val="right" w:leader="dot" w:pos="9622"/>
        </w:tabs>
        <w:rPr>
          <w:rFonts w:asciiTheme="minorHAnsi" w:eastAsiaTheme="minorEastAsia" w:hAnsiTheme="minorHAnsi" w:cstheme="minorBidi"/>
          <w:noProof/>
          <w:sz w:val="22"/>
          <w:szCs w:val="22"/>
          <w:lang w:eastAsia="en-GB"/>
        </w:rPr>
      </w:pPr>
      <w:hyperlink w:anchor="_Toc509215897" w:history="1">
        <w:r w:rsidR="00612A0E" w:rsidRPr="004854A7">
          <w:rPr>
            <w:rStyle w:val="Hyperlink"/>
            <w:rFonts w:cs="Arial"/>
            <w:noProof/>
          </w:rPr>
          <w:t>1.</w:t>
        </w:r>
        <w:r w:rsidR="00612A0E">
          <w:rPr>
            <w:rFonts w:asciiTheme="minorHAnsi" w:eastAsiaTheme="minorEastAsia" w:hAnsiTheme="minorHAnsi" w:cstheme="minorBidi"/>
            <w:noProof/>
            <w:sz w:val="22"/>
            <w:szCs w:val="22"/>
            <w:lang w:eastAsia="en-GB"/>
          </w:rPr>
          <w:tab/>
        </w:r>
        <w:r w:rsidR="00612A0E" w:rsidRPr="004854A7">
          <w:rPr>
            <w:rStyle w:val="Hyperlink"/>
            <w:rFonts w:cs="Arial"/>
            <w:noProof/>
          </w:rPr>
          <w:t>Introduction</w:t>
        </w:r>
        <w:r w:rsidR="00612A0E">
          <w:rPr>
            <w:noProof/>
            <w:webHidden/>
          </w:rPr>
          <w:tab/>
        </w:r>
        <w:r w:rsidR="00612A0E">
          <w:rPr>
            <w:noProof/>
            <w:webHidden/>
          </w:rPr>
          <w:fldChar w:fldCharType="begin"/>
        </w:r>
        <w:r w:rsidR="00612A0E">
          <w:rPr>
            <w:noProof/>
            <w:webHidden/>
          </w:rPr>
          <w:instrText xml:space="preserve"> PAGEREF _Toc509215897 \h </w:instrText>
        </w:r>
        <w:r w:rsidR="00612A0E">
          <w:rPr>
            <w:noProof/>
            <w:webHidden/>
          </w:rPr>
        </w:r>
        <w:r w:rsidR="00612A0E">
          <w:rPr>
            <w:noProof/>
            <w:webHidden/>
          </w:rPr>
          <w:fldChar w:fldCharType="separate"/>
        </w:r>
        <w:r w:rsidR="00612A0E">
          <w:rPr>
            <w:noProof/>
            <w:webHidden/>
          </w:rPr>
          <w:t>2</w:t>
        </w:r>
        <w:r w:rsidR="00612A0E">
          <w:rPr>
            <w:noProof/>
            <w:webHidden/>
          </w:rPr>
          <w:fldChar w:fldCharType="end"/>
        </w:r>
      </w:hyperlink>
    </w:p>
    <w:p w:rsidR="00612A0E" w:rsidRDefault="003208BA">
      <w:pPr>
        <w:pStyle w:val="TOC1"/>
        <w:tabs>
          <w:tab w:val="left" w:pos="440"/>
          <w:tab w:val="right" w:leader="dot" w:pos="9622"/>
        </w:tabs>
        <w:rPr>
          <w:rFonts w:asciiTheme="minorHAnsi" w:eastAsiaTheme="minorEastAsia" w:hAnsiTheme="minorHAnsi" w:cstheme="minorBidi"/>
          <w:noProof/>
          <w:sz w:val="22"/>
          <w:szCs w:val="22"/>
          <w:lang w:eastAsia="en-GB"/>
        </w:rPr>
      </w:pPr>
      <w:hyperlink w:anchor="_Toc509215898" w:history="1">
        <w:r w:rsidR="00612A0E" w:rsidRPr="004854A7">
          <w:rPr>
            <w:rStyle w:val="Hyperlink"/>
            <w:rFonts w:cs="Arial"/>
            <w:noProof/>
          </w:rPr>
          <w:t>2.</w:t>
        </w:r>
        <w:r w:rsidR="00612A0E">
          <w:rPr>
            <w:rFonts w:asciiTheme="minorHAnsi" w:eastAsiaTheme="minorEastAsia" w:hAnsiTheme="minorHAnsi" w:cstheme="minorBidi"/>
            <w:noProof/>
            <w:sz w:val="22"/>
            <w:szCs w:val="22"/>
            <w:lang w:eastAsia="en-GB"/>
          </w:rPr>
          <w:tab/>
        </w:r>
        <w:r w:rsidR="00612A0E" w:rsidRPr="004854A7">
          <w:rPr>
            <w:rStyle w:val="Hyperlink"/>
            <w:rFonts w:cs="Arial"/>
            <w:noProof/>
          </w:rPr>
          <w:t>When permission is required</w:t>
        </w:r>
        <w:r w:rsidR="00612A0E">
          <w:rPr>
            <w:noProof/>
            <w:webHidden/>
          </w:rPr>
          <w:tab/>
        </w:r>
        <w:r w:rsidR="00612A0E">
          <w:rPr>
            <w:noProof/>
            <w:webHidden/>
          </w:rPr>
          <w:fldChar w:fldCharType="begin"/>
        </w:r>
        <w:r w:rsidR="00612A0E">
          <w:rPr>
            <w:noProof/>
            <w:webHidden/>
          </w:rPr>
          <w:instrText xml:space="preserve"> PAGEREF _Toc509215898 \h </w:instrText>
        </w:r>
        <w:r w:rsidR="00612A0E">
          <w:rPr>
            <w:noProof/>
            <w:webHidden/>
          </w:rPr>
        </w:r>
        <w:r w:rsidR="00612A0E">
          <w:rPr>
            <w:noProof/>
            <w:webHidden/>
          </w:rPr>
          <w:fldChar w:fldCharType="separate"/>
        </w:r>
        <w:r w:rsidR="00612A0E">
          <w:rPr>
            <w:noProof/>
            <w:webHidden/>
          </w:rPr>
          <w:t>2</w:t>
        </w:r>
        <w:r w:rsidR="00612A0E">
          <w:rPr>
            <w:noProof/>
            <w:webHidden/>
          </w:rPr>
          <w:fldChar w:fldCharType="end"/>
        </w:r>
      </w:hyperlink>
    </w:p>
    <w:p w:rsidR="00612A0E" w:rsidRDefault="003208BA">
      <w:pPr>
        <w:pStyle w:val="TOC1"/>
        <w:tabs>
          <w:tab w:val="left" w:pos="440"/>
          <w:tab w:val="right" w:leader="dot" w:pos="9622"/>
        </w:tabs>
        <w:rPr>
          <w:rFonts w:asciiTheme="minorHAnsi" w:eastAsiaTheme="minorEastAsia" w:hAnsiTheme="minorHAnsi" w:cstheme="minorBidi"/>
          <w:noProof/>
          <w:sz w:val="22"/>
          <w:szCs w:val="22"/>
          <w:lang w:eastAsia="en-GB"/>
        </w:rPr>
      </w:pPr>
      <w:hyperlink w:anchor="_Toc509215899" w:history="1">
        <w:r w:rsidR="00612A0E" w:rsidRPr="004854A7">
          <w:rPr>
            <w:rStyle w:val="Hyperlink"/>
            <w:rFonts w:cs="Arial"/>
            <w:noProof/>
          </w:rPr>
          <w:t>3.</w:t>
        </w:r>
        <w:r w:rsidR="00612A0E">
          <w:rPr>
            <w:rFonts w:asciiTheme="minorHAnsi" w:eastAsiaTheme="minorEastAsia" w:hAnsiTheme="minorHAnsi" w:cstheme="minorBidi"/>
            <w:noProof/>
            <w:sz w:val="22"/>
            <w:szCs w:val="22"/>
            <w:lang w:eastAsia="en-GB"/>
          </w:rPr>
          <w:tab/>
        </w:r>
        <w:r w:rsidR="00612A0E" w:rsidRPr="004854A7">
          <w:rPr>
            <w:rStyle w:val="Hyperlink"/>
            <w:rFonts w:cs="Arial"/>
            <w:noProof/>
          </w:rPr>
          <w:t>When permission is not required</w:t>
        </w:r>
        <w:r w:rsidR="00612A0E">
          <w:rPr>
            <w:noProof/>
            <w:webHidden/>
          </w:rPr>
          <w:tab/>
        </w:r>
        <w:r w:rsidR="00612A0E">
          <w:rPr>
            <w:noProof/>
            <w:webHidden/>
          </w:rPr>
          <w:fldChar w:fldCharType="begin"/>
        </w:r>
        <w:r w:rsidR="00612A0E">
          <w:rPr>
            <w:noProof/>
            <w:webHidden/>
          </w:rPr>
          <w:instrText xml:space="preserve"> PAGEREF _Toc509215899 \h </w:instrText>
        </w:r>
        <w:r w:rsidR="00612A0E">
          <w:rPr>
            <w:noProof/>
            <w:webHidden/>
          </w:rPr>
        </w:r>
        <w:r w:rsidR="00612A0E">
          <w:rPr>
            <w:noProof/>
            <w:webHidden/>
          </w:rPr>
          <w:fldChar w:fldCharType="separate"/>
        </w:r>
        <w:r w:rsidR="00612A0E">
          <w:rPr>
            <w:noProof/>
            <w:webHidden/>
          </w:rPr>
          <w:t>2</w:t>
        </w:r>
        <w:r w:rsidR="00612A0E">
          <w:rPr>
            <w:noProof/>
            <w:webHidden/>
          </w:rPr>
          <w:fldChar w:fldCharType="end"/>
        </w:r>
      </w:hyperlink>
    </w:p>
    <w:p w:rsidR="00612A0E" w:rsidRDefault="003208BA">
      <w:pPr>
        <w:pStyle w:val="TOC1"/>
        <w:tabs>
          <w:tab w:val="left" w:pos="440"/>
          <w:tab w:val="right" w:leader="dot" w:pos="9622"/>
        </w:tabs>
        <w:rPr>
          <w:rFonts w:asciiTheme="minorHAnsi" w:eastAsiaTheme="minorEastAsia" w:hAnsiTheme="minorHAnsi" w:cstheme="minorBidi"/>
          <w:noProof/>
          <w:sz w:val="22"/>
          <w:szCs w:val="22"/>
          <w:lang w:eastAsia="en-GB"/>
        </w:rPr>
      </w:pPr>
      <w:hyperlink w:anchor="_Toc509215900" w:history="1">
        <w:r w:rsidR="00612A0E" w:rsidRPr="004854A7">
          <w:rPr>
            <w:rStyle w:val="Hyperlink"/>
            <w:rFonts w:cs="Arial"/>
            <w:noProof/>
          </w:rPr>
          <w:t>4.</w:t>
        </w:r>
        <w:r w:rsidR="00612A0E">
          <w:rPr>
            <w:rFonts w:asciiTheme="minorHAnsi" w:eastAsiaTheme="minorEastAsia" w:hAnsiTheme="minorHAnsi" w:cstheme="minorBidi"/>
            <w:noProof/>
            <w:sz w:val="22"/>
            <w:szCs w:val="22"/>
            <w:lang w:eastAsia="en-GB"/>
          </w:rPr>
          <w:tab/>
        </w:r>
        <w:r w:rsidR="00612A0E" w:rsidRPr="004854A7">
          <w:rPr>
            <w:rStyle w:val="Hyperlink"/>
            <w:rFonts w:cs="Arial"/>
            <w:noProof/>
          </w:rPr>
          <w:t>Applying for permission</w:t>
        </w:r>
        <w:r w:rsidR="00612A0E">
          <w:rPr>
            <w:noProof/>
            <w:webHidden/>
          </w:rPr>
          <w:tab/>
        </w:r>
        <w:r w:rsidR="00612A0E">
          <w:rPr>
            <w:noProof/>
            <w:webHidden/>
          </w:rPr>
          <w:fldChar w:fldCharType="begin"/>
        </w:r>
        <w:r w:rsidR="00612A0E">
          <w:rPr>
            <w:noProof/>
            <w:webHidden/>
          </w:rPr>
          <w:instrText xml:space="preserve"> PAGEREF _Toc509215900 \h </w:instrText>
        </w:r>
        <w:r w:rsidR="00612A0E">
          <w:rPr>
            <w:noProof/>
            <w:webHidden/>
          </w:rPr>
        </w:r>
        <w:r w:rsidR="00612A0E">
          <w:rPr>
            <w:noProof/>
            <w:webHidden/>
          </w:rPr>
          <w:fldChar w:fldCharType="separate"/>
        </w:r>
        <w:r w:rsidR="00612A0E">
          <w:rPr>
            <w:noProof/>
            <w:webHidden/>
          </w:rPr>
          <w:t>3</w:t>
        </w:r>
        <w:r w:rsidR="00612A0E">
          <w:rPr>
            <w:noProof/>
            <w:webHidden/>
          </w:rPr>
          <w:fldChar w:fldCharType="end"/>
        </w:r>
      </w:hyperlink>
    </w:p>
    <w:p w:rsidR="00612A0E" w:rsidRDefault="003208BA">
      <w:pPr>
        <w:pStyle w:val="TOC1"/>
        <w:tabs>
          <w:tab w:val="left" w:pos="440"/>
          <w:tab w:val="right" w:leader="dot" w:pos="9622"/>
        </w:tabs>
        <w:rPr>
          <w:rFonts w:asciiTheme="minorHAnsi" w:eastAsiaTheme="minorEastAsia" w:hAnsiTheme="minorHAnsi" w:cstheme="minorBidi"/>
          <w:noProof/>
          <w:sz w:val="22"/>
          <w:szCs w:val="22"/>
          <w:lang w:eastAsia="en-GB"/>
        </w:rPr>
      </w:pPr>
      <w:hyperlink w:anchor="_Toc509215901" w:history="1">
        <w:r w:rsidR="00612A0E" w:rsidRPr="004854A7">
          <w:rPr>
            <w:rStyle w:val="Hyperlink"/>
            <w:rFonts w:cs="Arial"/>
            <w:noProof/>
          </w:rPr>
          <w:t>5.</w:t>
        </w:r>
        <w:r w:rsidR="00612A0E">
          <w:rPr>
            <w:rFonts w:asciiTheme="minorHAnsi" w:eastAsiaTheme="minorEastAsia" w:hAnsiTheme="minorHAnsi" w:cstheme="minorBidi"/>
            <w:noProof/>
            <w:sz w:val="22"/>
            <w:szCs w:val="22"/>
            <w:lang w:eastAsia="en-GB"/>
          </w:rPr>
          <w:tab/>
        </w:r>
        <w:r w:rsidR="00612A0E" w:rsidRPr="004854A7">
          <w:rPr>
            <w:rStyle w:val="Hyperlink"/>
            <w:rFonts w:cs="Arial"/>
            <w:noProof/>
          </w:rPr>
          <w:t>Granting permission</w:t>
        </w:r>
        <w:r w:rsidR="00612A0E">
          <w:rPr>
            <w:noProof/>
            <w:webHidden/>
          </w:rPr>
          <w:tab/>
        </w:r>
        <w:r w:rsidR="00612A0E">
          <w:rPr>
            <w:noProof/>
            <w:webHidden/>
          </w:rPr>
          <w:fldChar w:fldCharType="begin"/>
        </w:r>
        <w:r w:rsidR="00612A0E">
          <w:rPr>
            <w:noProof/>
            <w:webHidden/>
          </w:rPr>
          <w:instrText xml:space="preserve"> PAGEREF _Toc509215901 \h </w:instrText>
        </w:r>
        <w:r w:rsidR="00612A0E">
          <w:rPr>
            <w:noProof/>
            <w:webHidden/>
          </w:rPr>
        </w:r>
        <w:r w:rsidR="00612A0E">
          <w:rPr>
            <w:noProof/>
            <w:webHidden/>
          </w:rPr>
          <w:fldChar w:fldCharType="separate"/>
        </w:r>
        <w:r w:rsidR="00612A0E">
          <w:rPr>
            <w:noProof/>
            <w:webHidden/>
          </w:rPr>
          <w:t>3</w:t>
        </w:r>
        <w:r w:rsidR="00612A0E">
          <w:rPr>
            <w:noProof/>
            <w:webHidden/>
          </w:rPr>
          <w:fldChar w:fldCharType="end"/>
        </w:r>
      </w:hyperlink>
    </w:p>
    <w:p w:rsidR="00612A0E" w:rsidRDefault="003208BA">
      <w:pPr>
        <w:pStyle w:val="TOC1"/>
        <w:tabs>
          <w:tab w:val="left" w:pos="440"/>
          <w:tab w:val="right" w:leader="dot" w:pos="9622"/>
        </w:tabs>
        <w:rPr>
          <w:rFonts w:asciiTheme="minorHAnsi" w:eastAsiaTheme="minorEastAsia" w:hAnsiTheme="minorHAnsi" w:cstheme="minorBidi"/>
          <w:noProof/>
          <w:sz w:val="22"/>
          <w:szCs w:val="22"/>
          <w:lang w:eastAsia="en-GB"/>
        </w:rPr>
      </w:pPr>
      <w:hyperlink w:anchor="_Toc509215902" w:history="1">
        <w:r w:rsidR="00612A0E" w:rsidRPr="004854A7">
          <w:rPr>
            <w:rStyle w:val="Hyperlink"/>
            <w:rFonts w:cs="Arial"/>
            <w:noProof/>
          </w:rPr>
          <w:t>6.</w:t>
        </w:r>
        <w:r w:rsidR="00612A0E">
          <w:rPr>
            <w:rFonts w:asciiTheme="minorHAnsi" w:eastAsiaTheme="minorEastAsia" w:hAnsiTheme="minorHAnsi" w:cstheme="minorBidi"/>
            <w:noProof/>
            <w:sz w:val="22"/>
            <w:szCs w:val="22"/>
            <w:lang w:eastAsia="en-GB"/>
          </w:rPr>
          <w:tab/>
        </w:r>
        <w:r w:rsidR="00612A0E" w:rsidRPr="004854A7">
          <w:rPr>
            <w:rStyle w:val="Hyperlink"/>
            <w:rFonts w:cs="Arial"/>
            <w:noProof/>
          </w:rPr>
          <w:t>Refusing permission</w:t>
        </w:r>
        <w:r w:rsidR="00612A0E">
          <w:rPr>
            <w:noProof/>
            <w:webHidden/>
          </w:rPr>
          <w:tab/>
        </w:r>
        <w:r w:rsidR="00612A0E">
          <w:rPr>
            <w:noProof/>
            <w:webHidden/>
          </w:rPr>
          <w:fldChar w:fldCharType="begin"/>
        </w:r>
        <w:r w:rsidR="00612A0E">
          <w:rPr>
            <w:noProof/>
            <w:webHidden/>
          </w:rPr>
          <w:instrText xml:space="preserve"> PAGEREF _Toc509215902 \h </w:instrText>
        </w:r>
        <w:r w:rsidR="00612A0E">
          <w:rPr>
            <w:noProof/>
            <w:webHidden/>
          </w:rPr>
        </w:r>
        <w:r w:rsidR="00612A0E">
          <w:rPr>
            <w:noProof/>
            <w:webHidden/>
          </w:rPr>
          <w:fldChar w:fldCharType="separate"/>
        </w:r>
        <w:r w:rsidR="00612A0E">
          <w:rPr>
            <w:noProof/>
            <w:webHidden/>
          </w:rPr>
          <w:t>4</w:t>
        </w:r>
        <w:r w:rsidR="00612A0E">
          <w:rPr>
            <w:noProof/>
            <w:webHidden/>
          </w:rPr>
          <w:fldChar w:fldCharType="end"/>
        </w:r>
      </w:hyperlink>
    </w:p>
    <w:p w:rsidR="00612A0E" w:rsidRDefault="003208BA">
      <w:pPr>
        <w:pStyle w:val="TOC1"/>
        <w:tabs>
          <w:tab w:val="left" w:pos="440"/>
          <w:tab w:val="right" w:leader="dot" w:pos="9622"/>
        </w:tabs>
        <w:rPr>
          <w:rFonts w:asciiTheme="minorHAnsi" w:eastAsiaTheme="minorEastAsia" w:hAnsiTheme="minorHAnsi" w:cstheme="minorBidi"/>
          <w:noProof/>
          <w:sz w:val="22"/>
          <w:szCs w:val="22"/>
          <w:lang w:eastAsia="en-GB"/>
        </w:rPr>
      </w:pPr>
      <w:hyperlink w:anchor="_Toc509215903" w:history="1">
        <w:r w:rsidR="00612A0E" w:rsidRPr="004854A7">
          <w:rPr>
            <w:rStyle w:val="Hyperlink"/>
            <w:rFonts w:cs="Arial"/>
            <w:noProof/>
          </w:rPr>
          <w:t>7.</w:t>
        </w:r>
        <w:r w:rsidR="00612A0E">
          <w:rPr>
            <w:rFonts w:asciiTheme="minorHAnsi" w:eastAsiaTheme="minorEastAsia" w:hAnsiTheme="minorHAnsi" w:cstheme="minorBidi"/>
            <w:noProof/>
            <w:sz w:val="22"/>
            <w:szCs w:val="22"/>
            <w:lang w:eastAsia="en-GB"/>
          </w:rPr>
          <w:tab/>
        </w:r>
        <w:r w:rsidR="00612A0E" w:rsidRPr="004854A7">
          <w:rPr>
            <w:rStyle w:val="Hyperlink"/>
            <w:rFonts w:cs="Arial"/>
            <w:noProof/>
          </w:rPr>
          <w:t>Alterations without permission</w:t>
        </w:r>
        <w:r w:rsidR="00612A0E">
          <w:rPr>
            <w:noProof/>
            <w:webHidden/>
          </w:rPr>
          <w:tab/>
        </w:r>
        <w:r w:rsidR="00612A0E">
          <w:rPr>
            <w:noProof/>
            <w:webHidden/>
          </w:rPr>
          <w:fldChar w:fldCharType="begin"/>
        </w:r>
        <w:r w:rsidR="00612A0E">
          <w:rPr>
            <w:noProof/>
            <w:webHidden/>
          </w:rPr>
          <w:instrText xml:space="preserve"> PAGEREF _Toc509215903 \h </w:instrText>
        </w:r>
        <w:r w:rsidR="00612A0E">
          <w:rPr>
            <w:noProof/>
            <w:webHidden/>
          </w:rPr>
        </w:r>
        <w:r w:rsidR="00612A0E">
          <w:rPr>
            <w:noProof/>
            <w:webHidden/>
          </w:rPr>
          <w:fldChar w:fldCharType="separate"/>
        </w:r>
        <w:r w:rsidR="00612A0E">
          <w:rPr>
            <w:noProof/>
            <w:webHidden/>
          </w:rPr>
          <w:t>5</w:t>
        </w:r>
        <w:r w:rsidR="00612A0E">
          <w:rPr>
            <w:noProof/>
            <w:webHidden/>
          </w:rPr>
          <w:fldChar w:fldCharType="end"/>
        </w:r>
      </w:hyperlink>
    </w:p>
    <w:p w:rsidR="00612A0E" w:rsidRDefault="003208BA">
      <w:pPr>
        <w:pStyle w:val="TOC1"/>
        <w:tabs>
          <w:tab w:val="left" w:pos="440"/>
          <w:tab w:val="right" w:leader="dot" w:pos="9622"/>
        </w:tabs>
        <w:rPr>
          <w:rFonts w:asciiTheme="minorHAnsi" w:eastAsiaTheme="minorEastAsia" w:hAnsiTheme="minorHAnsi" w:cstheme="minorBidi"/>
          <w:noProof/>
          <w:sz w:val="22"/>
          <w:szCs w:val="22"/>
          <w:lang w:eastAsia="en-GB"/>
        </w:rPr>
      </w:pPr>
      <w:hyperlink w:anchor="_Toc509215904" w:history="1">
        <w:r w:rsidR="00612A0E" w:rsidRPr="004854A7">
          <w:rPr>
            <w:rStyle w:val="Hyperlink"/>
            <w:rFonts w:cs="Arial"/>
            <w:noProof/>
          </w:rPr>
          <w:t>8.</w:t>
        </w:r>
        <w:r w:rsidR="00612A0E">
          <w:rPr>
            <w:rFonts w:asciiTheme="minorHAnsi" w:eastAsiaTheme="minorEastAsia" w:hAnsiTheme="minorHAnsi" w:cstheme="minorBidi"/>
            <w:noProof/>
            <w:sz w:val="22"/>
            <w:szCs w:val="22"/>
            <w:lang w:eastAsia="en-GB"/>
          </w:rPr>
          <w:tab/>
        </w:r>
        <w:r w:rsidR="00612A0E" w:rsidRPr="004854A7">
          <w:rPr>
            <w:rStyle w:val="Hyperlink"/>
            <w:rFonts w:cs="Arial"/>
            <w:noProof/>
          </w:rPr>
          <w:t>Compensation for improvements</w:t>
        </w:r>
        <w:r w:rsidR="00612A0E">
          <w:rPr>
            <w:noProof/>
            <w:webHidden/>
          </w:rPr>
          <w:tab/>
        </w:r>
        <w:r w:rsidR="00612A0E">
          <w:rPr>
            <w:noProof/>
            <w:webHidden/>
          </w:rPr>
          <w:fldChar w:fldCharType="begin"/>
        </w:r>
        <w:r w:rsidR="00612A0E">
          <w:rPr>
            <w:noProof/>
            <w:webHidden/>
          </w:rPr>
          <w:instrText xml:space="preserve"> PAGEREF _Toc509215904 \h </w:instrText>
        </w:r>
        <w:r w:rsidR="00612A0E">
          <w:rPr>
            <w:noProof/>
            <w:webHidden/>
          </w:rPr>
        </w:r>
        <w:r w:rsidR="00612A0E">
          <w:rPr>
            <w:noProof/>
            <w:webHidden/>
          </w:rPr>
          <w:fldChar w:fldCharType="separate"/>
        </w:r>
        <w:r w:rsidR="00612A0E">
          <w:rPr>
            <w:noProof/>
            <w:webHidden/>
          </w:rPr>
          <w:t>5</w:t>
        </w:r>
        <w:r w:rsidR="00612A0E">
          <w:rPr>
            <w:noProof/>
            <w:webHidden/>
          </w:rPr>
          <w:fldChar w:fldCharType="end"/>
        </w:r>
      </w:hyperlink>
    </w:p>
    <w:p w:rsidR="00612A0E" w:rsidRDefault="003208BA">
      <w:pPr>
        <w:pStyle w:val="TOC1"/>
        <w:tabs>
          <w:tab w:val="left" w:pos="440"/>
          <w:tab w:val="right" w:leader="dot" w:pos="9622"/>
        </w:tabs>
        <w:rPr>
          <w:rFonts w:asciiTheme="minorHAnsi" w:eastAsiaTheme="minorEastAsia" w:hAnsiTheme="minorHAnsi" w:cstheme="minorBidi"/>
          <w:noProof/>
          <w:sz w:val="22"/>
          <w:szCs w:val="22"/>
          <w:lang w:eastAsia="en-GB"/>
        </w:rPr>
      </w:pPr>
      <w:hyperlink w:anchor="_Toc509215905" w:history="1">
        <w:r w:rsidR="00612A0E" w:rsidRPr="004854A7">
          <w:rPr>
            <w:rStyle w:val="Hyperlink"/>
            <w:rFonts w:cs="Arial"/>
            <w:noProof/>
          </w:rPr>
          <w:t>9.</w:t>
        </w:r>
        <w:r w:rsidR="00612A0E">
          <w:rPr>
            <w:rFonts w:asciiTheme="minorHAnsi" w:eastAsiaTheme="minorEastAsia" w:hAnsiTheme="minorHAnsi" w:cstheme="minorBidi"/>
            <w:noProof/>
            <w:sz w:val="22"/>
            <w:szCs w:val="22"/>
            <w:lang w:eastAsia="en-GB"/>
          </w:rPr>
          <w:tab/>
        </w:r>
        <w:r w:rsidR="00612A0E" w:rsidRPr="004854A7">
          <w:rPr>
            <w:rStyle w:val="Hyperlink"/>
            <w:rFonts w:cs="Arial"/>
            <w:noProof/>
          </w:rPr>
          <w:t>Policy review</w:t>
        </w:r>
        <w:r w:rsidR="00612A0E">
          <w:rPr>
            <w:noProof/>
            <w:webHidden/>
          </w:rPr>
          <w:tab/>
        </w:r>
        <w:r w:rsidR="00612A0E">
          <w:rPr>
            <w:noProof/>
            <w:webHidden/>
          </w:rPr>
          <w:fldChar w:fldCharType="begin"/>
        </w:r>
        <w:r w:rsidR="00612A0E">
          <w:rPr>
            <w:noProof/>
            <w:webHidden/>
          </w:rPr>
          <w:instrText xml:space="preserve"> PAGEREF _Toc509215905 \h </w:instrText>
        </w:r>
        <w:r w:rsidR="00612A0E">
          <w:rPr>
            <w:noProof/>
            <w:webHidden/>
          </w:rPr>
        </w:r>
        <w:r w:rsidR="00612A0E">
          <w:rPr>
            <w:noProof/>
            <w:webHidden/>
          </w:rPr>
          <w:fldChar w:fldCharType="separate"/>
        </w:r>
        <w:r w:rsidR="00612A0E">
          <w:rPr>
            <w:noProof/>
            <w:webHidden/>
          </w:rPr>
          <w:t>5</w:t>
        </w:r>
        <w:r w:rsidR="00612A0E">
          <w:rPr>
            <w:noProof/>
            <w:webHidden/>
          </w:rPr>
          <w:fldChar w:fldCharType="end"/>
        </w:r>
      </w:hyperlink>
    </w:p>
    <w:p w:rsidR="00612A0E" w:rsidRDefault="003208BA">
      <w:pPr>
        <w:pStyle w:val="TOC1"/>
        <w:tabs>
          <w:tab w:val="left" w:pos="660"/>
          <w:tab w:val="right" w:leader="dot" w:pos="9622"/>
        </w:tabs>
        <w:rPr>
          <w:rFonts w:asciiTheme="minorHAnsi" w:eastAsiaTheme="minorEastAsia" w:hAnsiTheme="minorHAnsi" w:cstheme="minorBidi"/>
          <w:noProof/>
          <w:sz w:val="22"/>
          <w:szCs w:val="22"/>
          <w:lang w:eastAsia="en-GB"/>
        </w:rPr>
      </w:pPr>
      <w:hyperlink w:anchor="_Toc509215906" w:history="1">
        <w:r w:rsidR="00612A0E" w:rsidRPr="004854A7">
          <w:rPr>
            <w:rStyle w:val="Hyperlink"/>
            <w:rFonts w:cs="Arial"/>
            <w:noProof/>
          </w:rPr>
          <w:t>10.</w:t>
        </w:r>
        <w:r w:rsidR="00612A0E">
          <w:rPr>
            <w:rFonts w:asciiTheme="minorHAnsi" w:eastAsiaTheme="minorEastAsia" w:hAnsiTheme="minorHAnsi" w:cstheme="minorBidi"/>
            <w:noProof/>
            <w:sz w:val="22"/>
            <w:szCs w:val="22"/>
            <w:lang w:eastAsia="en-GB"/>
          </w:rPr>
          <w:tab/>
        </w:r>
        <w:r w:rsidR="00612A0E" w:rsidRPr="004854A7">
          <w:rPr>
            <w:rStyle w:val="Hyperlink"/>
            <w:rFonts w:cs="Arial"/>
            <w:noProof/>
          </w:rPr>
          <w:t>Appendix 1: Impact assessment</w:t>
        </w:r>
        <w:r w:rsidR="00612A0E">
          <w:rPr>
            <w:noProof/>
            <w:webHidden/>
          </w:rPr>
          <w:tab/>
        </w:r>
        <w:r w:rsidR="00612A0E">
          <w:rPr>
            <w:noProof/>
            <w:webHidden/>
          </w:rPr>
          <w:fldChar w:fldCharType="begin"/>
        </w:r>
        <w:r w:rsidR="00612A0E">
          <w:rPr>
            <w:noProof/>
            <w:webHidden/>
          </w:rPr>
          <w:instrText xml:space="preserve"> PAGEREF _Toc509215906 \h </w:instrText>
        </w:r>
        <w:r w:rsidR="00612A0E">
          <w:rPr>
            <w:noProof/>
            <w:webHidden/>
          </w:rPr>
        </w:r>
        <w:r w:rsidR="00612A0E">
          <w:rPr>
            <w:noProof/>
            <w:webHidden/>
          </w:rPr>
          <w:fldChar w:fldCharType="separate"/>
        </w:r>
        <w:r w:rsidR="00612A0E">
          <w:rPr>
            <w:noProof/>
            <w:webHidden/>
          </w:rPr>
          <w:t>5</w:t>
        </w:r>
        <w:r w:rsidR="00612A0E">
          <w:rPr>
            <w:noProof/>
            <w:webHidden/>
          </w:rPr>
          <w:fldChar w:fldCharType="end"/>
        </w:r>
      </w:hyperlink>
    </w:p>
    <w:p w:rsidR="00C67E00" w:rsidRDefault="00E04A89" w:rsidP="00C67E00">
      <w:pPr>
        <w:rPr>
          <w:rFonts w:ascii="Arial" w:hAnsi="Arial"/>
        </w:rPr>
      </w:pPr>
      <w:r w:rsidRPr="001633EC">
        <w:rPr>
          <w:rFonts w:ascii="Arial" w:hAnsi="Arial"/>
        </w:rPr>
        <w:fldChar w:fldCharType="end"/>
      </w:r>
    </w:p>
    <w:p w:rsidR="00612A0E" w:rsidRPr="001633EC" w:rsidRDefault="00612A0E" w:rsidP="00C67E00">
      <w:pPr>
        <w:rPr>
          <w:rFonts w:ascii="Arial" w:hAnsi="Arial"/>
          <w:szCs w:val="24"/>
        </w:rPr>
      </w:pPr>
    </w:p>
    <w:p w:rsidR="00C67E00" w:rsidRPr="001633EC" w:rsidRDefault="00C67E00" w:rsidP="00C67E00">
      <w:pPr>
        <w:pStyle w:val="Heading1"/>
        <w:keepLines w:val="0"/>
        <w:numPr>
          <w:ilvl w:val="0"/>
          <w:numId w:val="15"/>
        </w:numPr>
        <w:spacing w:before="360" w:after="240"/>
        <w:jc w:val="left"/>
        <w:rPr>
          <w:rFonts w:ascii="Arial" w:hAnsi="Arial" w:cs="Arial"/>
          <w:sz w:val="26"/>
          <w:szCs w:val="26"/>
        </w:rPr>
      </w:pPr>
      <w:bookmarkStart w:id="15" w:name="_Toc195516038"/>
      <w:bookmarkStart w:id="16" w:name="_Toc257291477"/>
      <w:bookmarkStart w:id="17" w:name="_Toc257622438"/>
      <w:bookmarkStart w:id="18" w:name="_Toc509215897"/>
      <w:r w:rsidRPr="001633EC">
        <w:rPr>
          <w:rFonts w:ascii="Arial" w:hAnsi="Arial" w:cs="Arial"/>
          <w:sz w:val="26"/>
          <w:szCs w:val="26"/>
        </w:rPr>
        <w:t>I</w:t>
      </w:r>
      <w:bookmarkEnd w:id="15"/>
      <w:bookmarkEnd w:id="16"/>
      <w:bookmarkEnd w:id="17"/>
      <w:r w:rsidR="007D78F7" w:rsidRPr="001633EC">
        <w:rPr>
          <w:rFonts w:ascii="Arial" w:hAnsi="Arial" w:cs="Arial"/>
          <w:sz w:val="26"/>
          <w:szCs w:val="26"/>
        </w:rPr>
        <w:t>ntroduction</w:t>
      </w:r>
      <w:bookmarkEnd w:id="18"/>
      <w:r w:rsidRPr="001633EC">
        <w:rPr>
          <w:rFonts w:ascii="Arial" w:hAnsi="Arial" w:cs="Arial"/>
          <w:sz w:val="26"/>
          <w:szCs w:val="26"/>
        </w:rPr>
        <w:t xml:space="preserve"> </w:t>
      </w:r>
    </w:p>
    <w:p w:rsidR="00C67E00" w:rsidRDefault="008A0EE1" w:rsidP="00DA1D4C">
      <w:pPr>
        <w:pStyle w:val="Paragraphcat"/>
        <w:numPr>
          <w:ilvl w:val="1"/>
          <w:numId w:val="15"/>
        </w:numPr>
        <w:rPr>
          <w:sz w:val="22"/>
          <w:szCs w:val="22"/>
        </w:rPr>
      </w:pPr>
      <w:r>
        <w:rPr>
          <w:sz w:val="22"/>
          <w:szCs w:val="22"/>
        </w:rPr>
        <w:t>A</w:t>
      </w:r>
      <w:r w:rsidR="003C2353">
        <w:rPr>
          <w:sz w:val="22"/>
          <w:szCs w:val="22"/>
        </w:rPr>
        <w:t xml:space="preserve">n alteration is defined as </w:t>
      </w:r>
      <w:r w:rsidR="001E672D">
        <w:rPr>
          <w:sz w:val="22"/>
          <w:szCs w:val="22"/>
        </w:rPr>
        <w:t xml:space="preserve">a </w:t>
      </w:r>
      <w:r w:rsidR="003C2353">
        <w:rPr>
          <w:sz w:val="22"/>
          <w:szCs w:val="22"/>
        </w:rPr>
        <w:t>cha</w:t>
      </w:r>
      <w:r w:rsidR="001E672D">
        <w:rPr>
          <w:sz w:val="22"/>
          <w:szCs w:val="22"/>
        </w:rPr>
        <w:t>nge, removal or replacement of</w:t>
      </w:r>
      <w:r w:rsidR="003C2353">
        <w:rPr>
          <w:sz w:val="22"/>
          <w:szCs w:val="22"/>
        </w:rPr>
        <w:t xml:space="preserve"> the original fabric of the building</w:t>
      </w:r>
      <w:r w:rsidR="005E0FAA">
        <w:rPr>
          <w:sz w:val="22"/>
          <w:szCs w:val="22"/>
        </w:rPr>
        <w:t xml:space="preserve">, its grounds, </w:t>
      </w:r>
      <w:r w:rsidR="003C2353">
        <w:rPr>
          <w:sz w:val="22"/>
          <w:szCs w:val="22"/>
        </w:rPr>
        <w:t>boundaries and/ or fixtures and fittings</w:t>
      </w:r>
      <w:r w:rsidR="0041137E">
        <w:rPr>
          <w:sz w:val="22"/>
          <w:szCs w:val="22"/>
        </w:rPr>
        <w:t xml:space="preserve"> provided by Poplar HARCA</w:t>
      </w:r>
      <w:r w:rsidR="003C2353">
        <w:rPr>
          <w:sz w:val="22"/>
          <w:szCs w:val="22"/>
        </w:rPr>
        <w:t>.</w:t>
      </w:r>
    </w:p>
    <w:p w:rsidR="00A62FD1" w:rsidRPr="00271ADE" w:rsidRDefault="00A145E4" w:rsidP="00271ADE">
      <w:pPr>
        <w:pStyle w:val="Paragraphcat"/>
        <w:numPr>
          <w:ilvl w:val="1"/>
          <w:numId w:val="15"/>
        </w:numPr>
        <w:rPr>
          <w:sz w:val="22"/>
          <w:szCs w:val="22"/>
        </w:rPr>
      </w:pPr>
      <w:r w:rsidRPr="001633EC">
        <w:rPr>
          <w:sz w:val="22"/>
          <w:szCs w:val="22"/>
        </w:rPr>
        <w:t xml:space="preserve">Poplar HARCA has a responsibility to </w:t>
      </w:r>
      <w:r>
        <w:rPr>
          <w:sz w:val="22"/>
          <w:szCs w:val="22"/>
        </w:rPr>
        <w:t xml:space="preserve">protect our properties and </w:t>
      </w:r>
      <w:r w:rsidRPr="0008535D">
        <w:rPr>
          <w:sz w:val="22"/>
          <w:szCs w:val="22"/>
        </w:rPr>
        <w:t>health, safety and wellbeing of everybody living, working or visiting our buildings</w:t>
      </w:r>
      <w:r>
        <w:rPr>
          <w:sz w:val="22"/>
          <w:szCs w:val="22"/>
        </w:rPr>
        <w:t>.</w:t>
      </w:r>
      <w:r w:rsidR="00271ADE">
        <w:rPr>
          <w:sz w:val="22"/>
          <w:szCs w:val="22"/>
        </w:rPr>
        <w:t xml:space="preserve"> We also have</w:t>
      </w:r>
      <w:r w:rsidR="00A62FD1" w:rsidRPr="00271ADE">
        <w:rPr>
          <w:sz w:val="22"/>
          <w:szCs w:val="22"/>
        </w:rPr>
        <w:t xml:space="preserve"> a duty to </w:t>
      </w:r>
      <w:r w:rsidR="00271ADE" w:rsidRPr="00271ADE">
        <w:rPr>
          <w:sz w:val="22"/>
          <w:szCs w:val="22"/>
        </w:rPr>
        <w:t xml:space="preserve">ensure that its activities provide value for money. </w:t>
      </w:r>
    </w:p>
    <w:p w:rsidR="00A145E4" w:rsidRPr="001633EC" w:rsidRDefault="003A259A" w:rsidP="00DA1D4C">
      <w:pPr>
        <w:pStyle w:val="Paragraphcat"/>
        <w:numPr>
          <w:ilvl w:val="1"/>
          <w:numId w:val="15"/>
        </w:numPr>
        <w:rPr>
          <w:sz w:val="22"/>
          <w:szCs w:val="22"/>
        </w:rPr>
      </w:pPr>
      <w:r>
        <w:rPr>
          <w:sz w:val="22"/>
          <w:szCs w:val="22"/>
        </w:rPr>
        <w:t xml:space="preserve">It is important </w:t>
      </w:r>
      <w:r w:rsidRPr="00EB657C">
        <w:rPr>
          <w:sz w:val="22"/>
          <w:szCs w:val="22"/>
        </w:rPr>
        <w:t xml:space="preserve">that </w:t>
      </w:r>
      <w:r w:rsidR="0026057C" w:rsidRPr="00EB657C">
        <w:rPr>
          <w:sz w:val="22"/>
          <w:szCs w:val="22"/>
        </w:rPr>
        <w:t>the tenant, lease</w:t>
      </w:r>
      <w:r w:rsidR="00705F07" w:rsidRPr="00EB657C">
        <w:rPr>
          <w:sz w:val="22"/>
          <w:szCs w:val="22"/>
        </w:rPr>
        <w:t>holder</w:t>
      </w:r>
      <w:r w:rsidR="0026057C" w:rsidRPr="00EB657C">
        <w:rPr>
          <w:sz w:val="22"/>
          <w:szCs w:val="22"/>
        </w:rPr>
        <w:t xml:space="preserve">, or license </w:t>
      </w:r>
      <w:r w:rsidR="0026057C">
        <w:rPr>
          <w:sz w:val="22"/>
          <w:szCs w:val="22"/>
        </w:rPr>
        <w:t>holder is able to make the most of their property and, within reason, adapt it to suit</w:t>
      </w:r>
      <w:r>
        <w:rPr>
          <w:sz w:val="22"/>
          <w:szCs w:val="22"/>
        </w:rPr>
        <w:t xml:space="preserve"> </w:t>
      </w:r>
      <w:r w:rsidR="0026057C">
        <w:rPr>
          <w:sz w:val="22"/>
          <w:szCs w:val="22"/>
        </w:rPr>
        <w:t xml:space="preserve">their needs. For this reason Poplar HARCA will not needlessly refuse permission for alterations. </w:t>
      </w:r>
    </w:p>
    <w:p w:rsidR="00D45F88" w:rsidRPr="00D45F88" w:rsidRDefault="00813A2D" w:rsidP="00D45F88">
      <w:pPr>
        <w:pStyle w:val="Paragraphcat"/>
        <w:numPr>
          <w:ilvl w:val="1"/>
          <w:numId w:val="15"/>
        </w:numPr>
        <w:rPr>
          <w:sz w:val="22"/>
          <w:szCs w:val="22"/>
        </w:rPr>
      </w:pPr>
      <w:r>
        <w:rPr>
          <w:sz w:val="22"/>
          <w:szCs w:val="22"/>
        </w:rPr>
        <w:lastRenderedPageBreak/>
        <w:t xml:space="preserve">This policy sets out </w:t>
      </w:r>
      <w:r w:rsidR="003A259A">
        <w:rPr>
          <w:sz w:val="22"/>
          <w:szCs w:val="22"/>
        </w:rPr>
        <w:t xml:space="preserve">the parameters for </w:t>
      </w:r>
      <w:r w:rsidR="0026057C">
        <w:rPr>
          <w:sz w:val="22"/>
          <w:szCs w:val="22"/>
        </w:rPr>
        <w:t xml:space="preserve">applying for permission to alter a property and for granting or refusing permission for the requested alterations. </w:t>
      </w:r>
      <w:r w:rsidR="003A259A">
        <w:rPr>
          <w:sz w:val="22"/>
          <w:szCs w:val="22"/>
        </w:rPr>
        <w:t xml:space="preserve"> </w:t>
      </w:r>
    </w:p>
    <w:p w:rsidR="00D112EB" w:rsidRPr="00D112EB" w:rsidRDefault="008A0EE1" w:rsidP="00D112EB">
      <w:pPr>
        <w:pStyle w:val="Heading1"/>
        <w:keepLines w:val="0"/>
        <w:numPr>
          <w:ilvl w:val="0"/>
          <w:numId w:val="15"/>
        </w:numPr>
        <w:spacing w:before="360" w:after="240"/>
        <w:jc w:val="left"/>
        <w:rPr>
          <w:rFonts w:ascii="Arial" w:hAnsi="Arial" w:cs="Arial"/>
          <w:sz w:val="26"/>
          <w:szCs w:val="26"/>
        </w:rPr>
      </w:pPr>
      <w:bookmarkStart w:id="19" w:name="_Toc509215898"/>
      <w:r>
        <w:rPr>
          <w:rFonts w:ascii="Arial" w:hAnsi="Arial" w:cs="Arial"/>
          <w:sz w:val="26"/>
          <w:szCs w:val="26"/>
        </w:rPr>
        <w:t>When permission is required</w:t>
      </w:r>
      <w:bookmarkEnd w:id="19"/>
      <w:r>
        <w:rPr>
          <w:rFonts w:ascii="Arial" w:hAnsi="Arial" w:cs="Arial"/>
          <w:sz w:val="26"/>
          <w:szCs w:val="26"/>
        </w:rPr>
        <w:t xml:space="preserve"> </w:t>
      </w:r>
    </w:p>
    <w:p w:rsidR="004F6884" w:rsidRDefault="00250E44" w:rsidP="00514DCB">
      <w:pPr>
        <w:pStyle w:val="ListParagraph"/>
        <w:numPr>
          <w:ilvl w:val="1"/>
          <w:numId w:val="15"/>
        </w:numPr>
        <w:rPr>
          <w:rFonts w:ascii="Arial" w:hAnsi="Arial"/>
        </w:rPr>
      </w:pPr>
      <w:r>
        <w:rPr>
          <w:rFonts w:ascii="Arial" w:hAnsi="Arial"/>
        </w:rPr>
        <w:t>Permission is required before carrying out any alterations to a Poplar HARCA property. Alterations include:</w:t>
      </w:r>
    </w:p>
    <w:p w:rsidR="00514DCB" w:rsidRPr="006D27E4" w:rsidRDefault="00514DCB" w:rsidP="00514DCB">
      <w:pPr>
        <w:pStyle w:val="ListParagraph"/>
        <w:ind w:left="794"/>
        <w:rPr>
          <w:rFonts w:ascii="Arial" w:hAnsi="Arial"/>
        </w:rPr>
      </w:pPr>
    </w:p>
    <w:p w:rsidR="00514DCB" w:rsidRDefault="009D5C7A" w:rsidP="00514DCB">
      <w:pPr>
        <w:pStyle w:val="ListParagraph"/>
        <w:numPr>
          <w:ilvl w:val="0"/>
          <w:numId w:val="24"/>
        </w:numPr>
        <w:spacing w:after="120"/>
        <w:ind w:hanging="357"/>
        <w:rPr>
          <w:rFonts w:ascii="Arial" w:hAnsi="Arial"/>
        </w:rPr>
      </w:pPr>
      <w:r>
        <w:rPr>
          <w:rFonts w:ascii="Arial" w:hAnsi="Arial"/>
        </w:rPr>
        <w:t xml:space="preserve">Changes to the </w:t>
      </w:r>
      <w:r w:rsidR="00250E44">
        <w:rPr>
          <w:rFonts w:ascii="Arial" w:hAnsi="Arial"/>
        </w:rPr>
        <w:t>layout of the property such as dividing rooms; removing walls, replacing internal doors with archways or making the property open plan; installing an additional toilet or wash hand basin</w:t>
      </w:r>
    </w:p>
    <w:p w:rsidR="00514DCB" w:rsidRDefault="00514DCB" w:rsidP="00514DCB">
      <w:pPr>
        <w:pStyle w:val="ListParagraph"/>
        <w:numPr>
          <w:ilvl w:val="0"/>
          <w:numId w:val="24"/>
        </w:numPr>
        <w:spacing w:after="120"/>
        <w:ind w:hanging="357"/>
        <w:rPr>
          <w:rFonts w:ascii="Arial" w:hAnsi="Arial"/>
        </w:rPr>
      </w:pPr>
      <w:r>
        <w:rPr>
          <w:rFonts w:ascii="Arial" w:hAnsi="Arial"/>
        </w:rPr>
        <w:t>Extending the property</w:t>
      </w:r>
    </w:p>
    <w:p w:rsidR="00514DCB" w:rsidRDefault="00514DCB" w:rsidP="00514DCB">
      <w:pPr>
        <w:pStyle w:val="ListParagraph"/>
        <w:numPr>
          <w:ilvl w:val="0"/>
          <w:numId w:val="24"/>
        </w:numPr>
        <w:spacing w:after="120"/>
        <w:ind w:hanging="357"/>
        <w:rPr>
          <w:rFonts w:ascii="Arial" w:hAnsi="Arial"/>
        </w:rPr>
      </w:pPr>
      <w:r>
        <w:rPr>
          <w:rFonts w:ascii="Arial" w:hAnsi="Arial"/>
        </w:rPr>
        <w:t>Dividing the property to create more than one dwelling or reversing a knock through</w:t>
      </w:r>
    </w:p>
    <w:p w:rsidR="00514DCB" w:rsidRDefault="00514DCB" w:rsidP="00514DCB">
      <w:pPr>
        <w:pStyle w:val="ListParagraph"/>
        <w:numPr>
          <w:ilvl w:val="0"/>
          <w:numId w:val="24"/>
        </w:numPr>
        <w:spacing w:after="120"/>
        <w:ind w:hanging="357"/>
        <w:rPr>
          <w:rFonts w:ascii="Arial" w:hAnsi="Arial"/>
        </w:rPr>
      </w:pPr>
      <w:r>
        <w:rPr>
          <w:rFonts w:ascii="Arial" w:hAnsi="Arial"/>
        </w:rPr>
        <w:t>Carrying out a loft conversion, or using a loft for any purpose</w:t>
      </w:r>
    </w:p>
    <w:p w:rsidR="0008535D" w:rsidRPr="0008535D" w:rsidRDefault="0008535D" w:rsidP="0008535D">
      <w:pPr>
        <w:pStyle w:val="ListParagraph"/>
        <w:numPr>
          <w:ilvl w:val="0"/>
          <w:numId w:val="24"/>
        </w:numPr>
        <w:spacing w:after="120"/>
        <w:ind w:hanging="357"/>
        <w:rPr>
          <w:rFonts w:ascii="Arial" w:hAnsi="Arial"/>
        </w:rPr>
      </w:pPr>
      <w:r>
        <w:rPr>
          <w:rFonts w:ascii="Arial" w:hAnsi="Arial"/>
        </w:rPr>
        <w:t xml:space="preserve">Any works to change the </w:t>
      </w:r>
      <w:r w:rsidR="003A259A">
        <w:rPr>
          <w:rFonts w:ascii="Arial" w:hAnsi="Arial"/>
        </w:rPr>
        <w:t xml:space="preserve">existing </w:t>
      </w:r>
      <w:r>
        <w:rPr>
          <w:rFonts w:ascii="Arial" w:hAnsi="Arial"/>
        </w:rPr>
        <w:t>heating, gas, plumbing or electrical systems within the property</w:t>
      </w:r>
    </w:p>
    <w:p w:rsidR="00514DCB" w:rsidRPr="00514DCB" w:rsidRDefault="00250E44" w:rsidP="00514DCB">
      <w:pPr>
        <w:pStyle w:val="ListParagraph"/>
        <w:numPr>
          <w:ilvl w:val="0"/>
          <w:numId w:val="24"/>
        </w:numPr>
        <w:spacing w:after="120"/>
        <w:ind w:hanging="357"/>
        <w:rPr>
          <w:rFonts w:ascii="Arial" w:hAnsi="Arial"/>
        </w:rPr>
      </w:pPr>
      <w:r>
        <w:rPr>
          <w:rFonts w:ascii="Arial" w:hAnsi="Arial"/>
        </w:rPr>
        <w:t>Replacing windows or doors</w:t>
      </w:r>
    </w:p>
    <w:p w:rsidR="00250E44" w:rsidRDefault="00250E44" w:rsidP="00514DCB">
      <w:pPr>
        <w:pStyle w:val="ListParagraph"/>
        <w:numPr>
          <w:ilvl w:val="0"/>
          <w:numId w:val="24"/>
        </w:numPr>
        <w:spacing w:after="120"/>
        <w:ind w:hanging="357"/>
        <w:rPr>
          <w:rFonts w:ascii="Arial" w:hAnsi="Arial"/>
        </w:rPr>
      </w:pPr>
      <w:r>
        <w:rPr>
          <w:rFonts w:ascii="Arial" w:hAnsi="Arial"/>
        </w:rPr>
        <w:t>Changing or altering electrical fittings</w:t>
      </w:r>
      <w:r w:rsidR="00322D08">
        <w:rPr>
          <w:rFonts w:ascii="Arial" w:hAnsi="Arial"/>
        </w:rPr>
        <w:t>, or installing electrical items where they did not previously exist (e.g. electric showers)</w:t>
      </w:r>
    </w:p>
    <w:p w:rsidR="00250E44" w:rsidRDefault="00250E44" w:rsidP="00514DCB">
      <w:pPr>
        <w:pStyle w:val="ListParagraph"/>
        <w:numPr>
          <w:ilvl w:val="0"/>
          <w:numId w:val="24"/>
        </w:numPr>
        <w:spacing w:after="120"/>
        <w:ind w:hanging="357"/>
        <w:rPr>
          <w:rFonts w:ascii="Arial" w:hAnsi="Arial"/>
        </w:rPr>
      </w:pPr>
      <w:r>
        <w:rPr>
          <w:rFonts w:ascii="Arial" w:hAnsi="Arial"/>
        </w:rPr>
        <w:t>Painting the external areas of the property or communal areas outside the property</w:t>
      </w:r>
    </w:p>
    <w:p w:rsidR="006D27E4" w:rsidRDefault="00D112EB" w:rsidP="00514DCB">
      <w:pPr>
        <w:pStyle w:val="ListParagraph"/>
        <w:numPr>
          <w:ilvl w:val="0"/>
          <w:numId w:val="24"/>
        </w:numPr>
        <w:spacing w:after="120"/>
        <w:ind w:hanging="357"/>
        <w:rPr>
          <w:rFonts w:ascii="Arial" w:hAnsi="Arial"/>
        </w:rPr>
      </w:pPr>
      <w:r>
        <w:rPr>
          <w:rFonts w:ascii="Arial" w:hAnsi="Arial"/>
        </w:rPr>
        <w:t>Putting up a satellite dish</w:t>
      </w:r>
    </w:p>
    <w:p w:rsidR="00250E44" w:rsidRDefault="00250E44" w:rsidP="00514DCB">
      <w:pPr>
        <w:pStyle w:val="ListParagraph"/>
        <w:numPr>
          <w:ilvl w:val="0"/>
          <w:numId w:val="24"/>
        </w:numPr>
        <w:spacing w:after="120"/>
        <w:ind w:hanging="357"/>
        <w:rPr>
          <w:rFonts w:ascii="Arial" w:hAnsi="Arial"/>
        </w:rPr>
      </w:pPr>
      <w:r>
        <w:rPr>
          <w:rFonts w:ascii="Arial" w:hAnsi="Arial"/>
        </w:rPr>
        <w:t>This is not an exhaustive list. If there is any doubt, permission should be sought</w:t>
      </w:r>
    </w:p>
    <w:p w:rsidR="002022FF" w:rsidRDefault="002022FF" w:rsidP="00514DCB">
      <w:pPr>
        <w:pStyle w:val="ListParagraph"/>
        <w:ind w:left="794"/>
        <w:rPr>
          <w:rFonts w:ascii="Arial" w:hAnsi="Arial"/>
        </w:rPr>
      </w:pPr>
    </w:p>
    <w:p w:rsidR="00F57E4E" w:rsidRDefault="00D112EB" w:rsidP="00514DCB">
      <w:pPr>
        <w:pStyle w:val="ListParagraph"/>
        <w:numPr>
          <w:ilvl w:val="1"/>
          <w:numId w:val="15"/>
        </w:numPr>
        <w:rPr>
          <w:rFonts w:ascii="Arial" w:hAnsi="Arial"/>
        </w:rPr>
      </w:pPr>
      <w:r>
        <w:rPr>
          <w:rFonts w:ascii="Arial" w:hAnsi="Arial"/>
        </w:rPr>
        <w:t xml:space="preserve">In addition, Poplar HARCA </w:t>
      </w:r>
      <w:r w:rsidRPr="00D112EB">
        <w:rPr>
          <w:rFonts w:ascii="Arial" w:hAnsi="Arial"/>
          <w:u w:val="single"/>
        </w:rPr>
        <w:t>tenants</w:t>
      </w:r>
      <w:r>
        <w:rPr>
          <w:rFonts w:ascii="Arial" w:hAnsi="Arial"/>
        </w:rPr>
        <w:t xml:space="preserve"> must seek prior </w:t>
      </w:r>
      <w:r w:rsidR="0008535D">
        <w:rPr>
          <w:rFonts w:ascii="Arial" w:hAnsi="Arial"/>
        </w:rPr>
        <w:t xml:space="preserve">written </w:t>
      </w:r>
      <w:r>
        <w:rPr>
          <w:rFonts w:ascii="Arial" w:hAnsi="Arial"/>
        </w:rPr>
        <w:t xml:space="preserve">consent for the following: </w:t>
      </w:r>
    </w:p>
    <w:p w:rsidR="00D112EB" w:rsidRDefault="00D112EB" w:rsidP="00D112EB">
      <w:pPr>
        <w:pStyle w:val="ListParagraph"/>
        <w:ind w:left="794"/>
        <w:rPr>
          <w:rFonts w:ascii="Arial" w:hAnsi="Arial"/>
        </w:rPr>
      </w:pPr>
    </w:p>
    <w:p w:rsidR="00D112EB" w:rsidRDefault="00D112EB" w:rsidP="00D112EB">
      <w:pPr>
        <w:pStyle w:val="ListParagraph"/>
        <w:numPr>
          <w:ilvl w:val="0"/>
          <w:numId w:val="24"/>
        </w:numPr>
        <w:spacing w:after="120"/>
        <w:ind w:hanging="357"/>
        <w:rPr>
          <w:rFonts w:ascii="Arial" w:hAnsi="Arial"/>
        </w:rPr>
      </w:pPr>
      <w:r>
        <w:rPr>
          <w:rFonts w:ascii="Arial" w:hAnsi="Arial"/>
        </w:rPr>
        <w:t>Replacing kitchen fixtures and fittings</w:t>
      </w:r>
      <w:r w:rsidR="00CD3476">
        <w:rPr>
          <w:rFonts w:ascii="Arial" w:hAnsi="Arial"/>
        </w:rPr>
        <w:t xml:space="preserve"> </w:t>
      </w:r>
    </w:p>
    <w:p w:rsidR="00D112EB" w:rsidRDefault="00D112EB" w:rsidP="00D112EB">
      <w:pPr>
        <w:pStyle w:val="ListParagraph"/>
        <w:numPr>
          <w:ilvl w:val="0"/>
          <w:numId w:val="24"/>
        </w:numPr>
        <w:spacing w:after="120"/>
        <w:ind w:hanging="357"/>
        <w:rPr>
          <w:rFonts w:ascii="Arial" w:hAnsi="Arial"/>
        </w:rPr>
      </w:pPr>
      <w:r>
        <w:rPr>
          <w:rFonts w:ascii="Arial" w:hAnsi="Arial"/>
        </w:rPr>
        <w:t>Replacing bathroom fixtures and fittings</w:t>
      </w:r>
      <w:r w:rsidR="00107D34">
        <w:rPr>
          <w:rFonts w:ascii="Arial" w:hAnsi="Arial"/>
        </w:rPr>
        <w:t xml:space="preserve"> e.g. mixer taps </w:t>
      </w:r>
    </w:p>
    <w:p w:rsidR="00CD3476" w:rsidRDefault="00CD3476" w:rsidP="00D112EB">
      <w:pPr>
        <w:pStyle w:val="ListParagraph"/>
        <w:numPr>
          <w:ilvl w:val="0"/>
          <w:numId w:val="24"/>
        </w:numPr>
        <w:spacing w:after="120"/>
        <w:ind w:hanging="357"/>
        <w:rPr>
          <w:rFonts w:ascii="Arial" w:hAnsi="Arial"/>
        </w:rPr>
      </w:pPr>
      <w:r>
        <w:rPr>
          <w:rFonts w:ascii="Arial" w:hAnsi="Arial"/>
        </w:rPr>
        <w:t>Installing a shower in the bathroom where one did not exist previously</w:t>
      </w:r>
    </w:p>
    <w:p w:rsidR="00D112EB" w:rsidRDefault="00D112EB" w:rsidP="00D112EB">
      <w:pPr>
        <w:pStyle w:val="ListParagraph"/>
        <w:numPr>
          <w:ilvl w:val="0"/>
          <w:numId w:val="24"/>
        </w:numPr>
        <w:spacing w:after="120"/>
        <w:ind w:hanging="357"/>
        <w:rPr>
          <w:rFonts w:ascii="Arial" w:hAnsi="Arial"/>
        </w:rPr>
      </w:pPr>
      <w:r>
        <w:rPr>
          <w:rFonts w:ascii="Arial" w:hAnsi="Arial"/>
        </w:rPr>
        <w:t>Replacing boilers</w:t>
      </w:r>
    </w:p>
    <w:p w:rsidR="00D112EB" w:rsidRPr="00D112EB" w:rsidRDefault="00D112EB" w:rsidP="00D112EB">
      <w:pPr>
        <w:pStyle w:val="ListParagraph"/>
        <w:numPr>
          <w:ilvl w:val="0"/>
          <w:numId w:val="24"/>
        </w:numPr>
        <w:spacing w:after="120"/>
        <w:ind w:hanging="357"/>
        <w:rPr>
          <w:rFonts w:ascii="Arial" w:hAnsi="Arial"/>
        </w:rPr>
      </w:pPr>
      <w:r>
        <w:rPr>
          <w:rFonts w:ascii="Arial" w:hAnsi="Arial"/>
        </w:rPr>
        <w:t>Installing hard flooring such as laminate or ceramic tiles</w:t>
      </w:r>
    </w:p>
    <w:p w:rsidR="00F375C5" w:rsidRPr="001633EC" w:rsidRDefault="00F375C5" w:rsidP="00F375C5">
      <w:pPr>
        <w:pStyle w:val="Heading1"/>
        <w:keepLines w:val="0"/>
        <w:numPr>
          <w:ilvl w:val="0"/>
          <w:numId w:val="15"/>
        </w:numPr>
        <w:spacing w:before="360" w:after="240"/>
        <w:jc w:val="left"/>
        <w:rPr>
          <w:rFonts w:ascii="Arial" w:hAnsi="Arial" w:cs="Arial"/>
          <w:sz w:val="26"/>
          <w:szCs w:val="26"/>
        </w:rPr>
      </w:pPr>
      <w:bookmarkStart w:id="20" w:name="_Toc509215899"/>
      <w:r>
        <w:rPr>
          <w:rFonts w:ascii="Arial" w:hAnsi="Arial" w:cs="Arial"/>
          <w:sz w:val="26"/>
          <w:szCs w:val="26"/>
        </w:rPr>
        <w:t xml:space="preserve">When permission is </w:t>
      </w:r>
      <w:r w:rsidRPr="00F375C5">
        <w:rPr>
          <w:rFonts w:ascii="Arial" w:hAnsi="Arial" w:cs="Arial"/>
          <w:sz w:val="26"/>
          <w:szCs w:val="26"/>
          <w:u w:val="single"/>
        </w:rPr>
        <w:t>not</w:t>
      </w:r>
      <w:r w:rsidRPr="00F375C5">
        <w:rPr>
          <w:rFonts w:ascii="Arial" w:hAnsi="Arial" w:cs="Arial"/>
          <w:sz w:val="26"/>
          <w:szCs w:val="26"/>
        </w:rPr>
        <w:t xml:space="preserve"> </w:t>
      </w:r>
      <w:r>
        <w:rPr>
          <w:rFonts w:ascii="Arial" w:hAnsi="Arial" w:cs="Arial"/>
          <w:sz w:val="26"/>
          <w:szCs w:val="26"/>
        </w:rPr>
        <w:t>required</w:t>
      </w:r>
      <w:bookmarkEnd w:id="20"/>
      <w:r>
        <w:rPr>
          <w:rFonts w:ascii="Arial" w:hAnsi="Arial" w:cs="Arial"/>
          <w:sz w:val="26"/>
          <w:szCs w:val="26"/>
        </w:rPr>
        <w:t xml:space="preserve"> </w:t>
      </w:r>
    </w:p>
    <w:p w:rsidR="00F375C5" w:rsidRDefault="00D112EB" w:rsidP="00F375C5">
      <w:pPr>
        <w:pStyle w:val="ListParagraph"/>
        <w:numPr>
          <w:ilvl w:val="1"/>
          <w:numId w:val="15"/>
        </w:numPr>
        <w:spacing w:before="120" w:after="240"/>
        <w:rPr>
          <w:rFonts w:ascii="Arial" w:hAnsi="Arial"/>
        </w:rPr>
      </w:pPr>
      <w:r>
        <w:rPr>
          <w:rFonts w:ascii="Arial" w:hAnsi="Arial"/>
        </w:rPr>
        <w:t xml:space="preserve">Permission is not required for the </w:t>
      </w:r>
      <w:r w:rsidR="0008535D">
        <w:rPr>
          <w:rFonts w:ascii="Arial" w:hAnsi="Arial"/>
        </w:rPr>
        <w:t>some</w:t>
      </w:r>
      <w:r>
        <w:rPr>
          <w:rFonts w:ascii="Arial" w:hAnsi="Arial"/>
        </w:rPr>
        <w:t xml:space="preserve"> works</w:t>
      </w:r>
      <w:r w:rsidR="0008535D">
        <w:rPr>
          <w:rFonts w:ascii="Arial" w:hAnsi="Arial"/>
        </w:rPr>
        <w:t>, including</w:t>
      </w:r>
      <w:r>
        <w:rPr>
          <w:rFonts w:ascii="Arial" w:hAnsi="Arial"/>
        </w:rPr>
        <w:t>:</w:t>
      </w:r>
    </w:p>
    <w:p w:rsidR="00F375C5" w:rsidRDefault="00F375C5" w:rsidP="00F375C5">
      <w:pPr>
        <w:pStyle w:val="ListParagraph"/>
        <w:spacing w:before="120" w:after="240"/>
        <w:ind w:left="794"/>
        <w:rPr>
          <w:rFonts w:ascii="Arial" w:hAnsi="Arial"/>
        </w:rPr>
      </w:pPr>
    </w:p>
    <w:p w:rsidR="0008535D" w:rsidRDefault="0008535D" w:rsidP="0008535D">
      <w:pPr>
        <w:pStyle w:val="ListParagraph"/>
        <w:numPr>
          <w:ilvl w:val="0"/>
          <w:numId w:val="24"/>
        </w:numPr>
        <w:spacing w:after="120"/>
        <w:ind w:hanging="357"/>
        <w:rPr>
          <w:rFonts w:ascii="Arial" w:hAnsi="Arial"/>
        </w:rPr>
      </w:pPr>
      <w:r>
        <w:rPr>
          <w:rFonts w:ascii="Arial" w:hAnsi="Arial"/>
        </w:rPr>
        <w:t>Decorative works within the property</w:t>
      </w:r>
    </w:p>
    <w:p w:rsidR="0008535D" w:rsidRDefault="00876548" w:rsidP="0008535D">
      <w:pPr>
        <w:pStyle w:val="ListParagraph"/>
        <w:numPr>
          <w:ilvl w:val="0"/>
          <w:numId w:val="24"/>
        </w:numPr>
        <w:spacing w:after="120"/>
        <w:ind w:hanging="357"/>
        <w:rPr>
          <w:rFonts w:ascii="Arial" w:hAnsi="Arial"/>
        </w:rPr>
      </w:pPr>
      <w:r>
        <w:rPr>
          <w:rFonts w:ascii="Arial" w:hAnsi="Arial"/>
        </w:rPr>
        <w:t>Changing locks</w:t>
      </w:r>
      <w:r w:rsidR="0008535D">
        <w:rPr>
          <w:rFonts w:ascii="Arial" w:hAnsi="Arial"/>
        </w:rPr>
        <w:t xml:space="preserve"> to windows </w:t>
      </w:r>
      <w:r>
        <w:rPr>
          <w:rFonts w:ascii="Arial" w:hAnsi="Arial"/>
        </w:rPr>
        <w:t xml:space="preserve">handles </w:t>
      </w:r>
      <w:r w:rsidR="0008535D">
        <w:rPr>
          <w:rFonts w:ascii="Arial" w:hAnsi="Arial"/>
        </w:rPr>
        <w:t>and external doors</w:t>
      </w:r>
    </w:p>
    <w:p w:rsidR="0008535D" w:rsidRDefault="0008535D" w:rsidP="0008535D">
      <w:pPr>
        <w:pStyle w:val="ListParagraph"/>
        <w:numPr>
          <w:ilvl w:val="0"/>
          <w:numId w:val="24"/>
        </w:numPr>
        <w:spacing w:after="120"/>
        <w:ind w:hanging="357"/>
        <w:rPr>
          <w:rFonts w:ascii="Arial" w:hAnsi="Arial"/>
        </w:rPr>
      </w:pPr>
      <w:r>
        <w:rPr>
          <w:rFonts w:ascii="Arial" w:hAnsi="Arial"/>
        </w:rPr>
        <w:t>Replacing glass in windows</w:t>
      </w:r>
    </w:p>
    <w:p w:rsidR="0008535D" w:rsidRPr="00D112EB" w:rsidRDefault="0008535D" w:rsidP="0008535D">
      <w:pPr>
        <w:pStyle w:val="ListParagraph"/>
        <w:numPr>
          <w:ilvl w:val="0"/>
          <w:numId w:val="24"/>
        </w:numPr>
        <w:spacing w:after="120"/>
        <w:ind w:hanging="357"/>
        <w:rPr>
          <w:rFonts w:ascii="Arial" w:hAnsi="Arial"/>
        </w:rPr>
      </w:pPr>
      <w:r>
        <w:rPr>
          <w:rFonts w:ascii="Arial" w:hAnsi="Arial"/>
        </w:rPr>
        <w:t>Installing carpet or vinyl flooring</w:t>
      </w:r>
    </w:p>
    <w:p w:rsidR="0008535D" w:rsidRDefault="0008535D" w:rsidP="00F375C5">
      <w:pPr>
        <w:pStyle w:val="ListParagraph"/>
        <w:spacing w:before="120" w:after="240"/>
        <w:ind w:left="794"/>
        <w:rPr>
          <w:rFonts w:ascii="Arial" w:hAnsi="Arial"/>
        </w:rPr>
      </w:pPr>
    </w:p>
    <w:p w:rsidR="00F375C5" w:rsidRDefault="00D112EB" w:rsidP="00F375C5">
      <w:pPr>
        <w:pStyle w:val="ListParagraph"/>
        <w:numPr>
          <w:ilvl w:val="1"/>
          <w:numId w:val="15"/>
        </w:numPr>
        <w:spacing w:before="120" w:after="240"/>
        <w:rPr>
          <w:rFonts w:ascii="Arial" w:hAnsi="Arial"/>
        </w:rPr>
      </w:pPr>
      <w:r>
        <w:rPr>
          <w:rFonts w:ascii="Arial" w:hAnsi="Arial"/>
        </w:rPr>
        <w:t xml:space="preserve">In addition, Poplar HARCA </w:t>
      </w:r>
      <w:r w:rsidRPr="00D112EB">
        <w:rPr>
          <w:rFonts w:ascii="Arial" w:hAnsi="Arial"/>
          <w:u w:val="single"/>
        </w:rPr>
        <w:t>leaseholders</w:t>
      </w:r>
      <w:r w:rsidR="0008535D">
        <w:rPr>
          <w:rFonts w:ascii="Arial" w:hAnsi="Arial"/>
        </w:rPr>
        <w:t xml:space="preserve"> may carry out the following works without written consent provided that there is no need to alter the existing supplies or services:</w:t>
      </w:r>
    </w:p>
    <w:p w:rsidR="0008535D" w:rsidRDefault="0008535D" w:rsidP="0008535D">
      <w:pPr>
        <w:pStyle w:val="ListParagraph"/>
        <w:spacing w:before="120" w:after="240"/>
        <w:ind w:left="794"/>
        <w:rPr>
          <w:rFonts w:ascii="Arial" w:hAnsi="Arial"/>
        </w:rPr>
      </w:pPr>
    </w:p>
    <w:p w:rsidR="0008535D" w:rsidRDefault="0008535D" w:rsidP="0008535D">
      <w:pPr>
        <w:pStyle w:val="ListParagraph"/>
        <w:numPr>
          <w:ilvl w:val="0"/>
          <w:numId w:val="24"/>
        </w:numPr>
        <w:spacing w:after="120"/>
        <w:ind w:hanging="357"/>
        <w:rPr>
          <w:rFonts w:ascii="Arial" w:hAnsi="Arial"/>
        </w:rPr>
      </w:pPr>
      <w:r>
        <w:rPr>
          <w:rFonts w:ascii="Arial" w:hAnsi="Arial"/>
        </w:rPr>
        <w:t xml:space="preserve">Replacing kitchen fixtures and fittings </w:t>
      </w:r>
    </w:p>
    <w:p w:rsidR="0008535D" w:rsidRDefault="0008535D" w:rsidP="0008535D">
      <w:pPr>
        <w:pStyle w:val="ListParagraph"/>
        <w:numPr>
          <w:ilvl w:val="0"/>
          <w:numId w:val="24"/>
        </w:numPr>
        <w:spacing w:after="120"/>
        <w:ind w:hanging="357"/>
        <w:rPr>
          <w:rFonts w:ascii="Arial" w:hAnsi="Arial"/>
        </w:rPr>
      </w:pPr>
      <w:r>
        <w:rPr>
          <w:rFonts w:ascii="Arial" w:hAnsi="Arial"/>
        </w:rPr>
        <w:t xml:space="preserve">Replacing bathroom fixtures and fittings </w:t>
      </w:r>
    </w:p>
    <w:p w:rsidR="0008535D" w:rsidRPr="0008535D" w:rsidRDefault="0008535D" w:rsidP="0008535D">
      <w:pPr>
        <w:pStyle w:val="ListParagraph"/>
        <w:numPr>
          <w:ilvl w:val="0"/>
          <w:numId w:val="24"/>
        </w:numPr>
        <w:spacing w:after="120"/>
        <w:ind w:hanging="357"/>
        <w:rPr>
          <w:rFonts w:ascii="Arial" w:hAnsi="Arial"/>
        </w:rPr>
      </w:pPr>
      <w:r>
        <w:rPr>
          <w:rFonts w:ascii="Arial" w:hAnsi="Arial"/>
        </w:rPr>
        <w:t xml:space="preserve">Replacing boilers on individual heating systems </w:t>
      </w:r>
    </w:p>
    <w:p w:rsidR="00DA1D4C" w:rsidRPr="001633EC" w:rsidRDefault="008A0EE1" w:rsidP="00DA1D4C">
      <w:pPr>
        <w:pStyle w:val="Heading1"/>
        <w:keepLines w:val="0"/>
        <w:numPr>
          <w:ilvl w:val="0"/>
          <w:numId w:val="15"/>
        </w:numPr>
        <w:spacing w:before="360" w:after="240"/>
        <w:jc w:val="left"/>
        <w:rPr>
          <w:rFonts w:ascii="Arial" w:hAnsi="Arial" w:cs="Arial"/>
          <w:sz w:val="26"/>
          <w:szCs w:val="26"/>
        </w:rPr>
      </w:pPr>
      <w:bookmarkStart w:id="21" w:name="_Toc509215900"/>
      <w:r>
        <w:rPr>
          <w:rFonts w:ascii="Arial" w:hAnsi="Arial" w:cs="Arial"/>
          <w:sz w:val="26"/>
          <w:szCs w:val="26"/>
        </w:rPr>
        <w:t>Applying for permission</w:t>
      </w:r>
      <w:bookmarkEnd w:id="21"/>
      <w:r>
        <w:rPr>
          <w:rFonts w:ascii="Arial" w:hAnsi="Arial" w:cs="Arial"/>
          <w:sz w:val="26"/>
          <w:szCs w:val="26"/>
        </w:rPr>
        <w:t xml:space="preserve"> </w:t>
      </w:r>
    </w:p>
    <w:p w:rsidR="00A145E4" w:rsidRDefault="00A145E4" w:rsidP="00A145E4">
      <w:pPr>
        <w:pStyle w:val="ListParagraph"/>
        <w:numPr>
          <w:ilvl w:val="1"/>
          <w:numId w:val="15"/>
        </w:numPr>
        <w:rPr>
          <w:rFonts w:ascii="Arial" w:hAnsi="Arial"/>
        </w:rPr>
      </w:pPr>
      <w:r>
        <w:rPr>
          <w:rFonts w:ascii="Arial" w:hAnsi="Arial"/>
        </w:rPr>
        <w:t xml:space="preserve">Requests for permission to alter a property </w:t>
      </w:r>
      <w:r w:rsidRPr="00A145E4">
        <w:rPr>
          <w:rFonts w:ascii="Arial" w:hAnsi="Arial"/>
        </w:rPr>
        <w:t>must be made in writing (email or letter)</w:t>
      </w:r>
      <w:r>
        <w:rPr>
          <w:rFonts w:ascii="Arial" w:hAnsi="Arial"/>
        </w:rPr>
        <w:t xml:space="preserve"> to Poplar HARCA’s Property Services Team.</w:t>
      </w:r>
    </w:p>
    <w:p w:rsidR="00A145E4" w:rsidRDefault="00A145E4" w:rsidP="00A145E4">
      <w:pPr>
        <w:pStyle w:val="ListParagraph"/>
        <w:ind w:left="794"/>
        <w:rPr>
          <w:rFonts w:ascii="Arial" w:hAnsi="Arial"/>
        </w:rPr>
      </w:pPr>
    </w:p>
    <w:p w:rsidR="002022FF" w:rsidRDefault="00A145E4" w:rsidP="00A145E4">
      <w:pPr>
        <w:pStyle w:val="ListParagraph"/>
        <w:numPr>
          <w:ilvl w:val="1"/>
          <w:numId w:val="15"/>
        </w:numPr>
        <w:rPr>
          <w:rFonts w:ascii="Arial" w:hAnsi="Arial"/>
        </w:rPr>
      </w:pPr>
      <w:r>
        <w:rPr>
          <w:rFonts w:ascii="Arial" w:hAnsi="Arial"/>
        </w:rPr>
        <w:lastRenderedPageBreak/>
        <w:t xml:space="preserve">Applications must include a </w:t>
      </w:r>
      <w:r w:rsidRPr="00A145E4">
        <w:rPr>
          <w:rFonts w:ascii="Arial" w:hAnsi="Arial"/>
        </w:rPr>
        <w:t>detailed specification</w:t>
      </w:r>
      <w:r>
        <w:rPr>
          <w:rFonts w:ascii="Arial" w:hAnsi="Arial"/>
        </w:rPr>
        <w:t xml:space="preserve"> and, where necessary,</w:t>
      </w:r>
      <w:r w:rsidRPr="00A145E4">
        <w:rPr>
          <w:rFonts w:ascii="Arial" w:hAnsi="Arial"/>
        </w:rPr>
        <w:t xml:space="preserve"> plans and drawings. </w:t>
      </w:r>
    </w:p>
    <w:p w:rsidR="00CD3476" w:rsidRPr="00CD3476" w:rsidRDefault="00CD3476" w:rsidP="00CD3476">
      <w:pPr>
        <w:pStyle w:val="ListParagraph"/>
        <w:rPr>
          <w:rFonts w:ascii="Arial" w:hAnsi="Arial"/>
        </w:rPr>
      </w:pPr>
    </w:p>
    <w:p w:rsidR="00CD3476" w:rsidRDefault="00CD3476" w:rsidP="00A145E4">
      <w:pPr>
        <w:pStyle w:val="ListParagraph"/>
        <w:numPr>
          <w:ilvl w:val="1"/>
          <w:numId w:val="15"/>
        </w:numPr>
        <w:rPr>
          <w:rFonts w:ascii="Arial" w:hAnsi="Arial"/>
        </w:rPr>
      </w:pPr>
      <w:r>
        <w:rPr>
          <w:rFonts w:ascii="Arial" w:hAnsi="Arial"/>
        </w:rPr>
        <w:t xml:space="preserve">An </w:t>
      </w:r>
      <w:r w:rsidR="00942F8B" w:rsidRPr="00EB657C">
        <w:rPr>
          <w:rFonts w:ascii="Arial" w:hAnsi="Arial"/>
        </w:rPr>
        <w:t xml:space="preserve">administration </w:t>
      </w:r>
      <w:r w:rsidRPr="00EB657C">
        <w:rPr>
          <w:rFonts w:ascii="Arial" w:hAnsi="Arial"/>
        </w:rPr>
        <w:t xml:space="preserve">fee may be payable. Details </w:t>
      </w:r>
      <w:r>
        <w:rPr>
          <w:rFonts w:ascii="Arial" w:hAnsi="Arial"/>
        </w:rPr>
        <w:t xml:space="preserve">are provided on Poplar HARCA’s website and are available from the Property Services Team. </w:t>
      </w:r>
    </w:p>
    <w:p w:rsidR="00CD3476" w:rsidRPr="00CD3476" w:rsidRDefault="00CD3476" w:rsidP="00CD3476">
      <w:pPr>
        <w:rPr>
          <w:rFonts w:ascii="Arial" w:hAnsi="Arial"/>
        </w:rPr>
      </w:pPr>
    </w:p>
    <w:p w:rsidR="00A145E4" w:rsidRPr="002022FF" w:rsidRDefault="00A145E4" w:rsidP="00A145E4">
      <w:pPr>
        <w:pStyle w:val="ListParagraph"/>
        <w:numPr>
          <w:ilvl w:val="1"/>
          <w:numId w:val="15"/>
        </w:numPr>
        <w:rPr>
          <w:rFonts w:ascii="Arial" w:hAnsi="Arial"/>
        </w:rPr>
      </w:pPr>
      <w:r>
        <w:rPr>
          <w:rFonts w:ascii="Arial" w:hAnsi="Arial"/>
        </w:rPr>
        <w:t>A response will be issued within ten working days. If the application is complicated and/ or requires additional time to assess, an interim response will be issued.</w:t>
      </w:r>
    </w:p>
    <w:p w:rsidR="00DA1D4C" w:rsidRDefault="008A0EE1" w:rsidP="00C67E00">
      <w:pPr>
        <w:pStyle w:val="Heading1"/>
        <w:keepLines w:val="0"/>
        <w:numPr>
          <w:ilvl w:val="0"/>
          <w:numId w:val="15"/>
        </w:numPr>
        <w:spacing w:before="360" w:after="240"/>
        <w:jc w:val="left"/>
        <w:rPr>
          <w:rFonts w:ascii="Arial" w:hAnsi="Arial" w:cs="Arial"/>
          <w:sz w:val="26"/>
          <w:szCs w:val="26"/>
        </w:rPr>
      </w:pPr>
      <w:bookmarkStart w:id="22" w:name="_Toc329169129"/>
      <w:bookmarkStart w:id="23" w:name="_Toc509215901"/>
      <w:bookmarkEnd w:id="22"/>
      <w:r>
        <w:rPr>
          <w:rFonts w:ascii="Arial" w:hAnsi="Arial" w:cs="Arial"/>
          <w:sz w:val="26"/>
          <w:szCs w:val="26"/>
        </w:rPr>
        <w:t>Granting permission</w:t>
      </w:r>
      <w:bookmarkEnd w:id="23"/>
    </w:p>
    <w:p w:rsidR="00CD3476" w:rsidRDefault="00CD3476" w:rsidP="008A0EE1">
      <w:pPr>
        <w:pStyle w:val="ListParagraph"/>
        <w:numPr>
          <w:ilvl w:val="1"/>
          <w:numId w:val="15"/>
        </w:numPr>
        <w:spacing w:before="120" w:after="240"/>
        <w:rPr>
          <w:rFonts w:ascii="Arial" w:hAnsi="Arial"/>
        </w:rPr>
      </w:pPr>
      <w:r>
        <w:rPr>
          <w:rFonts w:ascii="Arial" w:hAnsi="Arial"/>
        </w:rPr>
        <w:t>Poplar HARCA recognises that alterations are important to residents and other lease/ license holders and therefore, wherever possible permission will be granted.</w:t>
      </w:r>
    </w:p>
    <w:p w:rsidR="00CD3476" w:rsidRDefault="00CD3476" w:rsidP="00CD3476">
      <w:pPr>
        <w:pStyle w:val="ListParagraph"/>
        <w:spacing w:before="120" w:after="240"/>
        <w:ind w:left="794"/>
        <w:rPr>
          <w:rFonts w:ascii="Arial" w:hAnsi="Arial"/>
        </w:rPr>
      </w:pPr>
    </w:p>
    <w:p w:rsidR="007F12F9" w:rsidRDefault="00CD3476" w:rsidP="008A0EE1">
      <w:pPr>
        <w:pStyle w:val="ListParagraph"/>
        <w:numPr>
          <w:ilvl w:val="1"/>
          <w:numId w:val="15"/>
        </w:numPr>
        <w:spacing w:before="120" w:after="240"/>
        <w:rPr>
          <w:rFonts w:ascii="Arial" w:hAnsi="Arial"/>
        </w:rPr>
      </w:pPr>
      <w:r>
        <w:rPr>
          <w:rFonts w:ascii="Arial" w:hAnsi="Arial"/>
        </w:rPr>
        <w:t>Alterations will usually be agreed</w:t>
      </w:r>
      <w:r w:rsidR="009D5C7A">
        <w:rPr>
          <w:rFonts w:ascii="Arial" w:hAnsi="Arial"/>
        </w:rPr>
        <w:t xml:space="preserve"> subject to the following conditions: </w:t>
      </w:r>
    </w:p>
    <w:p w:rsidR="00A145E4" w:rsidRDefault="00A145E4" w:rsidP="00A145E4">
      <w:pPr>
        <w:pStyle w:val="ListParagraph"/>
        <w:spacing w:before="120" w:after="240"/>
        <w:ind w:left="794"/>
        <w:rPr>
          <w:rFonts w:ascii="Arial" w:hAnsi="Arial"/>
        </w:rPr>
      </w:pPr>
    </w:p>
    <w:p w:rsidR="00A145E4" w:rsidRPr="003A259A" w:rsidRDefault="00A145E4" w:rsidP="003A259A">
      <w:pPr>
        <w:pStyle w:val="ListParagraph"/>
        <w:numPr>
          <w:ilvl w:val="0"/>
          <w:numId w:val="26"/>
        </w:numPr>
        <w:ind w:left="1154"/>
        <w:rPr>
          <w:rFonts w:ascii="Arial" w:hAnsi="Arial"/>
        </w:rPr>
      </w:pPr>
      <w:r w:rsidRPr="003A259A">
        <w:rPr>
          <w:rFonts w:ascii="Arial" w:hAnsi="Arial"/>
        </w:rPr>
        <w:t>The full cost of the works including all relevant statutory fees etc. will be met by the occupant</w:t>
      </w:r>
    </w:p>
    <w:p w:rsidR="00A145E4" w:rsidRPr="00A145E4" w:rsidRDefault="00A145E4" w:rsidP="003A259A">
      <w:pPr>
        <w:pStyle w:val="ListParagraph"/>
        <w:ind w:left="1285"/>
        <w:rPr>
          <w:rFonts w:ascii="Arial" w:hAnsi="Arial"/>
        </w:rPr>
      </w:pPr>
    </w:p>
    <w:p w:rsidR="00A145E4" w:rsidRDefault="00A145E4" w:rsidP="003A259A">
      <w:pPr>
        <w:pStyle w:val="ListParagraph"/>
        <w:numPr>
          <w:ilvl w:val="0"/>
          <w:numId w:val="26"/>
        </w:numPr>
        <w:ind w:left="1154"/>
        <w:rPr>
          <w:rFonts w:ascii="Arial" w:hAnsi="Arial"/>
        </w:rPr>
      </w:pPr>
      <w:r w:rsidRPr="003A259A">
        <w:rPr>
          <w:rFonts w:ascii="Arial" w:hAnsi="Arial"/>
        </w:rPr>
        <w:t>All future maintenance works and costs relating to the alterations/ major works will be met by the occupant</w:t>
      </w:r>
    </w:p>
    <w:p w:rsidR="00FB2FBE" w:rsidRPr="00FB2FBE" w:rsidRDefault="00FB2FBE" w:rsidP="00FB2FBE">
      <w:pPr>
        <w:pStyle w:val="ListParagraph"/>
        <w:rPr>
          <w:rFonts w:ascii="Arial" w:hAnsi="Arial"/>
        </w:rPr>
      </w:pPr>
    </w:p>
    <w:p w:rsidR="00FB2FBE" w:rsidRDefault="00FB2FBE" w:rsidP="003A259A">
      <w:pPr>
        <w:pStyle w:val="ListParagraph"/>
        <w:numPr>
          <w:ilvl w:val="0"/>
          <w:numId w:val="26"/>
        </w:numPr>
        <w:ind w:left="1154"/>
        <w:rPr>
          <w:rFonts w:ascii="Arial" w:hAnsi="Arial"/>
        </w:rPr>
      </w:pPr>
      <w:r>
        <w:rPr>
          <w:rFonts w:ascii="Arial" w:hAnsi="Arial"/>
        </w:rPr>
        <w:t xml:space="preserve">No alterations may trespass on an area such as land, loft space, or other space not included in the demise of the tenancy or lease agreement, unless Poplar HARCA agrees a new tenancy or lease which includes the area to be built into, for which Poplar HARCA will charge a premium based on a valuation of the area by its surveyor. </w:t>
      </w:r>
    </w:p>
    <w:p w:rsidR="00FB2FBE" w:rsidRPr="00FB2FBE" w:rsidRDefault="00FB2FBE" w:rsidP="00FB2FBE">
      <w:pPr>
        <w:pStyle w:val="ListParagraph"/>
        <w:rPr>
          <w:rFonts w:ascii="Arial" w:hAnsi="Arial"/>
        </w:rPr>
      </w:pPr>
    </w:p>
    <w:p w:rsidR="00FB2FBE" w:rsidRDefault="00FB2FBE" w:rsidP="003A259A">
      <w:pPr>
        <w:pStyle w:val="ListParagraph"/>
        <w:numPr>
          <w:ilvl w:val="0"/>
          <w:numId w:val="26"/>
        </w:numPr>
        <w:ind w:left="1154"/>
        <w:rPr>
          <w:rFonts w:ascii="Arial" w:hAnsi="Arial"/>
        </w:rPr>
      </w:pPr>
      <w:r>
        <w:rPr>
          <w:rFonts w:ascii="Arial" w:hAnsi="Arial"/>
        </w:rPr>
        <w:t>Permission for a leaseholder to change windows or doors which do not form part of the demise of the property will be given on the condition that:</w:t>
      </w:r>
    </w:p>
    <w:p w:rsidR="00FB2FBE" w:rsidRPr="00FB2FBE" w:rsidRDefault="00FB2FBE" w:rsidP="00FB2FBE">
      <w:pPr>
        <w:pStyle w:val="ListParagraph"/>
        <w:rPr>
          <w:rFonts w:ascii="Arial" w:hAnsi="Arial"/>
        </w:rPr>
      </w:pPr>
    </w:p>
    <w:p w:rsidR="00FB2FBE" w:rsidRDefault="00FB2FBE" w:rsidP="00FB2FBE">
      <w:pPr>
        <w:pStyle w:val="ListParagraph"/>
        <w:numPr>
          <w:ilvl w:val="0"/>
          <w:numId w:val="28"/>
        </w:numPr>
        <w:ind w:left="1800"/>
        <w:rPr>
          <w:rFonts w:ascii="Arial" w:hAnsi="Arial"/>
        </w:rPr>
      </w:pPr>
      <w:r>
        <w:rPr>
          <w:rFonts w:ascii="Arial" w:hAnsi="Arial"/>
        </w:rPr>
        <w:t>The new windows or doors match the profile of the existing windows or doors of the building</w:t>
      </w:r>
    </w:p>
    <w:p w:rsidR="00FB2FBE" w:rsidRPr="00FB2FBE" w:rsidRDefault="00FB2FBE" w:rsidP="00FB2FBE">
      <w:pPr>
        <w:pStyle w:val="ListParagraph"/>
        <w:ind w:left="2160"/>
        <w:rPr>
          <w:rFonts w:ascii="Arial" w:hAnsi="Arial"/>
        </w:rPr>
      </w:pPr>
    </w:p>
    <w:p w:rsidR="00FB2FBE" w:rsidRPr="003A259A" w:rsidRDefault="00FB2FBE" w:rsidP="00FB2FBE">
      <w:pPr>
        <w:pStyle w:val="ListParagraph"/>
        <w:numPr>
          <w:ilvl w:val="0"/>
          <w:numId w:val="28"/>
        </w:numPr>
        <w:ind w:left="1800"/>
        <w:rPr>
          <w:rFonts w:ascii="Arial" w:hAnsi="Arial"/>
        </w:rPr>
      </w:pPr>
      <w:r>
        <w:rPr>
          <w:rFonts w:ascii="Arial" w:hAnsi="Arial"/>
        </w:rPr>
        <w:t xml:space="preserve">The leaseholder remains responsible for their share of the cost of maintaining and replacing windows and doors to other parts of the building including other dwellings. </w:t>
      </w:r>
    </w:p>
    <w:p w:rsidR="00A145E4" w:rsidRPr="00A145E4" w:rsidRDefault="00A145E4" w:rsidP="003A259A">
      <w:pPr>
        <w:pStyle w:val="ListParagraph"/>
        <w:ind w:left="1154"/>
        <w:rPr>
          <w:rFonts w:ascii="Arial" w:hAnsi="Arial"/>
        </w:rPr>
      </w:pPr>
    </w:p>
    <w:p w:rsidR="00A145E4" w:rsidRPr="003A259A" w:rsidRDefault="00A145E4" w:rsidP="003A259A">
      <w:pPr>
        <w:pStyle w:val="ListParagraph"/>
        <w:numPr>
          <w:ilvl w:val="0"/>
          <w:numId w:val="26"/>
        </w:numPr>
        <w:ind w:left="1154"/>
        <w:rPr>
          <w:rFonts w:ascii="Arial" w:hAnsi="Arial"/>
        </w:rPr>
      </w:pPr>
      <w:r w:rsidRPr="003A259A">
        <w:rPr>
          <w:rFonts w:ascii="Arial" w:hAnsi="Arial"/>
        </w:rPr>
        <w:t>The works must comply with all statutory regulations and relevant codes of practice including Planning Permission and Building Control Approval where necessary.</w:t>
      </w:r>
    </w:p>
    <w:p w:rsidR="00A145E4" w:rsidRPr="00A145E4" w:rsidRDefault="00A145E4" w:rsidP="003A259A">
      <w:pPr>
        <w:pStyle w:val="ListParagraph"/>
        <w:ind w:left="1154"/>
        <w:rPr>
          <w:rFonts w:ascii="Arial" w:hAnsi="Arial"/>
        </w:rPr>
      </w:pPr>
    </w:p>
    <w:p w:rsidR="00A145E4" w:rsidRPr="003A259A" w:rsidRDefault="00A145E4" w:rsidP="003A259A">
      <w:pPr>
        <w:pStyle w:val="ListParagraph"/>
        <w:numPr>
          <w:ilvl w:val="0"/>
          <w:numId w:val="26"/>
        </w:numPr>
        <w:ind w:left="1154"/>
        <w:rPr>
          <w:rFonts w:ascii="Arial" w:hAnsi="Arial"/>
        </w:rPr>
      </w:pPr>
      <w:r w:rsidRPr="003A259A">
        <w:rPr>
          <w:rFonts w:ascii="Arial" w:hAnsi="Arial"/>
        </w:rPr>
        <w:t xml:space="preserve">All works must be undertaken by competent contractors/ operatives. </w:t>
      </w:r>
    </w:p>
    <w:p w:rsidR="00A145E4" w:rsidRPr="00A145E4" w:rsidRDefault="00A145E4" w:rsidP="003A259A">
      <w:pPr>
        <w:pStyle w:val="ListParagraph"/>
        <w:ind w:left="1154"/>
        <w:rPr>
          <w:rFonts w:ascii="Arial" w:hAnsi="Arial"/>
        </w:rPr>
      </w:pPr>
    </w:p>
    <w:p w:rsidR="00A145E4" w:rsidRPr="003A259A" w:rsidRDefault="00A145E4" w:rsidP="003A259A">
      <w:pPr>
        <w:pStyle w:val="ListParagraph"/>
        <w:numPr>
          <w:ilvl w:val="0"/>
          <w:numId w:val="26"/>
        </w:numPr>
        <w:ind w:left="1154"/>
        <w:rPr>
          <w:rFonts w:ascii="Arial" w:hAnsi="Arial"/>
        </w:rPr>
      </w:pPr>
      <w:r w:rsidRPr="003A259A">
        <w:rPr>
          <w:rFonts w:ascii="Arial" w:hAnsi="Arial"/>
        </w:rPr>
        <w:t>All works to the gas and hot water installations must be undertaken by a Gas Safe registered contractor. An appropriate test certificate must be sent to Property Services on completion of the works.</w:t>
      </w:r>
    </w:p>
    <w:p w:rsidR="00A145E4" w:rsidRPr="00A145E4" w:rsidRDefault="00A145E4" w:rsidP="003A259A">
      <w:pPr>
        <w:pStyle w:val="ListParagraph"/>
        <w:ind w:left="1154"/>
        <w:rPr>
          <w:rFonts w:ascii="Arial" w:hAnsi="Arial"/>
        </w:rPr>
      </w:pPr>
    </w:p>
    <w:p w:rsidR="00A145E4" w:rsidRPr="003A259A" w:rsidRDefault="00A145E4" w:rsidP="003A259A">
      <w:pPr>
        <w:pStyle w:val="ListParagraph"/>
        <w:numPr>
          <w:ilvl w:val="0"/>
          <w:numId w:val="26"/>
        </w:numPr>
        <w:ind w:left="1154"/>
        <w:rPr>
          <w:rFonts w:ascii="Arial" w:hAnsi="Arial"/>
        </w:rPr>
      </w:pPr>
      <w:r w:rsidRPr="003A259A">
        <w:rPr>
          <w:rFonts w:ascii="Arial" w:hAnsi="Arial"/>
        </w:rPr>
        <w:t>All the electrical works must be undertaken by an NICEIC registered contractor. An appropriate test certificate must be sent to Property Services on completion of the works.</w:t>
      </w:r>
    </w:p>
    <w:p w:rsidR="00A145E4" w:rsidRPr="00A145E4" w:rsidRDefault="00A145E4" w:rsidP="003A259A">
      <w:pPr>
        <w:pStyle w:val="ListParagraph"/>
        <w:ind w:left="1154"/>
        <w:rPr>
          <w:rFonts w:ascii="Arial" w:hAnsi="Arial"/>
        </w:rPr>
      </w:pPr>
    </w:p>
    <w:p w:rsidR="00A145E4" w:rsidRPr="003A259A" w:rsidRDefault="00A145E4" w:rsidP="003A259A">
      <w:pPr>
        <w:pStyle w:val="ListParagraph"/>
        <w:numPr>
          <w:ilvl w:val="0"/>
          <w:numId w:val="26"/>
        </w:numPr>
        <w:ind w:left="1154"/>
        <w:rPr>
          <w:rFonts w:ascii="Arial" w:hAnsi="Arial"/>
        </w:rPr>
      </w:pPr>
      <w:r w:rsidRPr="003A259A">
        <w:rPr>
          <w:rFonts w:ascii="Arial" w:hAnsi="Arial"/>
        </w:rPr>
        <w:t xml:space="preserve">Contractors/ operatives must be fully insured and copies of their Public Liability and Employers Liability insurance must be sent to Property Services before works commence. </w:t>
      </w:r>
    </w:p>
    <w:p w:rsidR="00A145E4" w:rsidRPr="00A145E4" w:rsidRDefault="00A145E4" w:rsidP="003A259A">
      <w:pPr>
        <w:pStyle w:val="ListParagraph"/>
        <w:ind w:left="1154"/>
        <w:rPr>
          <w:rFonts w:ascii="Arial" w:hAnsi="Arial"/>
        </w:rPr>
      </w:pPr>
    </w:p>
    <w:p w:rsidR="00A145E4" w:rsidRPr="003A259A" w:rsidRDefault="00A145E4" w:rsidP="003A259A">
      <w:pPr>
        <w:pStyle w:val="ListParagraph"/>
        <w:numPr>
          <w:ilvl w:val="0"/>
          <w:numId w:val="26"/>
        </w:numPr>
        <w:ind w:left="1154"/>
        <w:rPr>
          <w:rFonts w:ascii="Arial" w:hAnsi="Arial"/>
        </w:rPr>
      </w:pPr>
      <w:r w:rsidRPr="003A259A">
        <w:rPr>
          <w:rFonts w:ascii="Arial" w:hAnsi="Arial"/>
        </w:rPr>
        <w:t>Access is to be maintained to all drainage installations including providing access points for maintenance purposes.</w:t>
      </w:r>
    </w:p>
    <w:p w:rsidR="00A145E4" w:rsidRPr="00A145E4" w:rsidRDefault="00A145E4" w:rsidP="003A259A">
      <w:pPr>
        <w:pStyle w:val="ListParagraph"/>
        <w:ind w:left="1154"/>
        <w:rPr>
          <w:rFonts w:ascii="Arial" w:hAnsi="Arial"/>
        </w:rPr>
      </w:pPr>
    </w:p>
    <w:p w:rsidR="00A145E4" w:rsidRPr="003A259A" w:rsidRDefault="00A145E4" w:rsidP="003A259A">
      <w:pPr>
        <w:pStyle w:val="ListParagraph"/>
        <w:numPr>
          <w:ilvl w:val="0"/>
          <w:numId w:val="26"/>
        </w:numPr>
        <w:ind w:left="1154"/>
        <w:rPr>
          <w:rFonts w:ascii="Arial" w:hAnsi="Arial"/>
        </w:rPr>
      </w:pPr>
      <w:r w:rsidRPr="003A259A">
        <w:rPr>
          <w:rFonts w:ascii="Arial" w:hAnsi="Arial"/>
        </w:rPr>
        <w:t xml:space="preserve">The occupant is responsible for ensuring that there are no asbestos containing materials in the work area. A full asbestos survey (Refurbishment and Demolition) must be undertaken before works begin. If asbestos containing materials are found, they must be encapsulated or removed by an approved asbestos removal contractor. Details of such works must be reported to Property Services. </w:t>
      </w:r>
    </w:p>
    <w:p w:rsidR="00A145E4" w:rsidRPr="00A145E4" w:rsidRDefault="00A145E4" w:rsidP="003A259A">
      <w:pPr>
        <w:pStyle w:val="ListParagraph"/>
        <w:ind w:left="1154"/>
        <w:rPr>
          <w:rFonts w:ascii="Arial" w:hAnsi="Arial"/>
        </w:rPr>
      </w:pPr>
    </w:p>
    <w:p w:rsidR="00A145E4" w:rsidRPr="003A259A" w:rsidRDefault="00A145E4" w:rsidP="003A259A">
      <w:pPr>
        <w:pStyle w:val="ListParagraph"/>
        <w:numPr>
          <w:ilvl w:val="0"/>
          <w:numId w:val="26"/>
        </w:numPr>
        <w:ind w:left="1154"/>
        <w:rPr>
          <w:rFonts w:ascii="Arial" w:hAnsi="Arial"/>
        </w:rPr>
      </w:pPr>
      <w:r w:rsidRPr="003A259A">
        <w:rPr>
          <w:rFonts w:ascii="Arial" w:hAnsi="Arial"/>
        </w:rPr>
        <w:t>Any damage to Poplar HARCA maintained fixtures, fittings or finishes must be made good to Poplar HARCA’s satisfaction</w:t>
      </w:r>
      <w:r w:rsidR="003A259A">
        <w:rPr>
          <w:rFonts w:ascii="Arial" w:hAnsi="Arial"/>
        </w:rPr>
        <w:t xml:space="preserve"> at the applicant’s expense</w:t>
      </w:r>
      <w:r w:rsidRPr="003A259A">
        <w:rPr>
          <w:rFonts w:ascii="Arial" w:hAnsi="Arial"/>
        </w:rPr>
        <w:t>.</w:t>
      </w:r>
    </w:p>
    <w:p w:rsidR="00A145E4" w:rsidRPr="00A145E4" w:rsidRDefault="00A145E4" w:rsidP="003A259A">
      <w:pPr>
        <w:pStyle w:val="ListParagraph"/>
        <w:ind w:left="1154"/>
        <w:rPr>
          <w:rFonts w:ascii="Arial" w:hAnsi="Arial"/>
        </w:rPr>
      </w:pPr>
    </w:p>
    <w:p w:rsidR="00A145E4" w:rsidRDefault="00A145E4" w:rsidP="003A259A">
      <w:pPr>
        <w:pStyle w:val="ListParagraph"/>
        <w:numPr>
          <w:ilvl w:val="0"/>
          <w:numId w:val="26"/>
        </w:numPr>
        <w:ind w:left="1154"/>
        <w:rPr>
          <w:rFonts w:ascii="Arial" w:hAnsi="Arial"/>
        </w:rPr>
      </w:pPr>
      <w:r w:rsidRPr="003A259A">
        <w:rPr>
          <w:rFonts w:ascii="Arial" w:hAnsi="Arial"/>
        </w:rPr>
        <w:t xml:space="preserve">The works are to be carried out between 8am and 6pm Monday to Friday with no works being undertaken at weekends or on Bank Holidays. </w:t>
      </w:r>
    </w:p>
    <w:p w:rsidR="00107D34" w:rsidRPr="00107D34" w:rsidRDefault="00107D34" w:rsidP="00107D34">
      <w:pPr>
        <w:pStyle w:val="ListParagraph"/>
        <w:rPr>
          <w:rFonts w:ascii="Arial" w:hAnsi="Arial"/>
        </w:rPr>
      </w:pPr>
    </w:p>
    <w:p w:rsidR="00107D34" w:rsidRDefault="00107D34" w:rsidP="003A259A">
      <w:pPr>
        <w:pStyle w:val="ListParagraph"/>
        <w:numPr>
          <w:ilvl w:val="0"/>
          <w:numId w:val="26"/>
        </w:numPr>
        <w:ind w:left="1154"/>
        <w:rPr>
          <w:rFonts w:ascii="Arial" w:hAnsi="Arial"/>
        </w:rPr>
      </w:pPr>
      <w:r>
        <w:rPr>
          <w:rFonts w:ascii="Arial" w:hAnsi="Arial"/>
        </w:rPr>
        <w:t>All associated waste is disposed of promptly in the correct way. No waste materials should be left in communal or external areas.</w:t>
      </w:r>
    </w:p>
    <w:p w:rsidR="0098548E" w:rsidRPr="0098548E" w:rsidRDefault="0098548E" w:rsidP="0098548E">
      <w:pPr>
        <w:pStyle w:val="ListParagraph"/>
        <w:rPr>
          <w:rFonts w:ascii="Arial" w:hAnsi="Arial"/>
        </w:rPr>
      </w:pPr>
    </w:p>
    <w:p w:rsidR="0098548E" w:rsidRPr="003A259A" w:rsidRDefault="0098548E" w:rsidP="003A259A">
      <w:pPr>
        <w:pStyle w:val="ListParagraph"/>
        <w:numPr>
          <w:ilvl w:val="0"/>
          <w:numId w:val="26"/>
        </w:numPr>
        <w:ind w:left="1154"/>
        <w:rPr>
          <w:rFonts w:ascii="Arial" w:hAnsi="Arial"/>
        </w:rPr>
      </w:pPr>
      <w:r>
        <w:rPr>
          <w:rFonts w:ascii="Arial" w:hAnsi="Arial"/>
        </w:rPr>
        <w:t>Where permission is granted, laminate flooring must be of a “click and lock” type and must not be permanently attached to the floor.</w:t>
      </w:r>
    </w:p>
    <w:p w:rsidR="00A145E4" w:rsidRPr="00A145E4" w:rsidRDefault="00A145E4" w:rsidP="003A259A">
      <w:pPr>
        <w:pStyle w:val="ListParagraph"/>
        <w:ind w:left="1154"/>
        <w:rPr>
          <w:rFonts w:ascii="Arial" w:hAnsi="Arial"/>
        </w:rPr>
      </w:pPr>
    </w:p>
    <w:p w:rsidR="00A145E4" w:rsidRPr="003A259A" w:rsidRDefault="003A259A" w:rsidP="003A259A">
      <w:pPr>
        <w:pStyle w:val="ListParagraph"/>
        <w:numPr>
          <w:ilvl w:val="0"/>
          <w:numId w:val="26"/>
        </w:numPr>
        <w:ind w:left="1154"/>
        <w:rPr>
          <w:rFonts w:ascii="Arial" w:hAnsi="Arial"/>
        </w:rPr>
      </w:pPr>
      <w:r>
        <w:rPr>
          <w:rFonts w:ascii="Arial" w:hAnsi="Arial"/>
        </w:rPr>
        <w:t xml:space="preserve">Depending on the type and extent of the works being proposed, additional conditions or restrictions may apply. </w:t>
      </w:r>
      <w:r w:rsidR="00A145E4" w:rsidRPr="003A259A">
        <w:rPr>
          <w:rFonts w:ascii="Arial" w:hAnsi="Arial"/>
        </w:rPr>
        <w:t xml:space="preserve"> </w:t>
      </w:r>
    </w:p>
    <w:p w:rsidR="008A0EE1" w:rsidRPr="00EB657C" w:rsidRDefault="008A0EE1" w:rsidP="008A0EE1">
      <w:pPr>
        <w:pStyle w:val="ListParagraph"/>
        <w:spacing w:before="120" w:after="240"/>
        <w:ind w:left="794"/>
        <w:rPr>
          <w:rFonts w:ascii="Arial" w:hAnsi="Arial"/>
        </w:rPr>
      </w:pPr>
    </w:p>
    <w:p w:rsidR="0026057C" w:rsidRDefault="0026057C" w:rsidP="0026057C">
      <w:pPr>
        <w:pStyle w:val="ListParagraph"/>
        <w:numPr>
          <w:ilvl w:val="1"/>
          <w:numId w:val="15"/>
        </w:numPr>
        <w:rPr>
          <w:rFonts w:ascii="Arial" w:hAnsi="Arial"/>
        </w:rPr>
      </w:pPr>
      <w:r w:rsidRPr="00EB657C">
        <w:rPr>
          <w:rFonts w:ascii="Arial" w:hAnsi="Arial"/>
        </w:rPr>
        <w:t>If conditions of permission are not met, the tenant, lease</w:t>
      </w:r>
      <w:r w:rsidR="00942F8B" w:rsidRPr="00EB657C">
        <w:rPr>
          <w:rFonts w:ascii="Arial" w:hAnsi="Arial"/>
        </w:rPr>
        <w:t>holder</w:t>
      </w:r>
      <w:r w:rsidRPr="00EB657C">
        <w:rPr>
          <w:rFonts w:ascii="Arial" w:hAnsi="Arial"/>
        </w:rPr>
        <w:t xml:space="preserve"> or license-holder </w:t>
      </w:r>
      <w:r w:rsidRPr="0026057C">
        <w:rPr>
          <w:rFonts w:ascii="Arial" w:hAnsi="Arial"/>
        </w:rPr>
        <w:t xml:space="preserve">may be required to reinstate the property to its original condition at their own cost. </w:t>
      </w:r>
    </w:p>
    <w:p w:rsidR="008A0EE1" w:rsidRDefault="008A0EE1" w:rsidP="008A0EE1">
      <w:pPr>
        <w:pStyle w:val="Heading1"/>
        <w:keepLines w:val="0"/>
        <w:numPr>
          <w:ilvl w:val="0"/>
          <w:numId w:val="15"/>
        </w:numPr>
        <w:spacing w:before="360" w:after="240"/>
        <w:jc w:val="left"/>
        <w:rPr>
          <w:rFonts w:ascii="Arial" w:hAnsi="Arial" w:cs="Arial"/>
          <w:sz w:val="26"/>
          <w:szCs w:val="26"/>
        </w:rPr>
      </w:pPr>
      <w:bookmarkStart w:id="24" w:name="_Toc509215902"/>
      <w:r>
        <w:rPr>
          <w:rFonts w:ascii="Arial" w:hAnsi="Arial" w:cs="Arial"/>
          <w:sz w:val="26"/>
          <w:szCs w:val="26"/>
        </w:rPr>
        <w:t>Refusing permission</w:t>
      </w:r>
      <w:bookmarkEnd w:id="24"/>
    </w:p>
    <w:p w:rsidR="008A0EE1" w:rsidRPr="00186E23" w:rsidRDefault="00CD3476" w:rsidP="008A0EE1">
      <w:pPr>
        <w:pStyle w:val="ListParagraph"/>
        <w:numPr>
          <w:ilvl w:val="1"/>
          <w:numId w:val="15"/>
        </w:numPr>
        <w:spacing w:before="120" w:after="240"/>
        <w:rPr>
          <w:rFonts w:ascii="Arial" w:hAnsi="Arial"/>
        </w:rPr>
      </w:pPr>
      <w:r w:rsidRPr="00186E23">
        <w:rPr>
          <w:rFonts w:ascii="Arial" w:hAnsi="Arial"/>
        </w:rPr>
        <w:t>Permission for alterations will be refused if the proposed works:</w:t>
      </w:r>
    </w:p>
    <w:p w:rsidR="00CD3476" w:rsidRPr="00186E23" w:rsidRDefault="00CD3476" w:rsidP="00CD3476">
      <w:pPr>
        <w:pStyle w:val="ListParagraph"/>
        <w:spacing w:before="120" w:after="240"/>
        <w:ind w:left="794"/>
        <w:rPr>
          <w:rFonts w:ascii="Arial" w:hAnsi="Arial"/>
        </w:rPr>
      </w:pPr>
    </w:p>
    <w:p w:rsidR="00CD3476" w:rsidRPr="00186E23" w:rsidRDefault="00CD3476" w:rsidP="00CD3476">
      <w:pPr>
        <w:pStyle w:val="ListParagraph"/>
        <w:numPr>
          <w:ilvl w:val="0"/>
          <w:numId w:val="27"/>
        </w:numPr>
        <w:spacing w:before="120" w:after="240"/>
        <w:rPr>
          <w:rFonts w:ascii="Arial" w:hAnsi="Arial"/>
        </w:rPr>
      </w:pPr>
      <w:r w:rsidRPr="00186E23">
        <w:rPr>
          <w:rFonts w:ascii="Arial" w:hAnsi="Arial"/>
        </w:rPr>
        <w:t>will threat</w:t>
      </w:r>
      <w:r w:rsidR="00186E23" w:rsidRPr="00186E23">
        <w:rPr>
          <w:rFonts w:ascii="Arial" w:hAnsi="Arial"/>
        </w:rPr>
        <w:t>en</w:t>
      </w:r>
      <w:r w:rsidRPr="00186E23">
        <w:rPr>
          <w:rFonts w:ascii="Arial" w:hAnsi="Arial"/>
        </w:rPr>
        <w:t xml:space="preserve"> the health, safety or wellbeing of other residents</w:t>
      </w:r>
      <w:r w:rsidR="00186E23" w:rsidRPr="00186E23">
        <w:rPr>
          <w:rFonts w:ascii="Arial" w:hAnsi="Arial"/>
        </w:rPr>
        <w:t xml:space="preserve"> or users of the building</w:t>
      </w:r>
    </w:p>
    <w:p w:rsidR="00CD3476" w:rsidRPr="00186E23" w:rsidRDefault="00CD3476" w:rsidP="00CD3476">
      <w:pPr>
        <w:pStyle w:val="ListParagraph"/>
        <w:numPr>
          <w:ilvl w:val="0"/>
          <w:numId w:val="27"/>
        </w:numPr>
        <w:spacing w:before="120" w:after="240"/>
        <w:rPr>
          <w:rFonts w:ascii="Arial" w:hAnsi="Arial"/>
        </w:rPr>
      </w:pPr>
      <w:r w:rsidRPr="00186E23">
        <w:rPr>
          <w:rFonts w:ascii="Arial" w:hAnsi="Arial"/>
        </w:rPr>
        <w:t>are detrimental to the structure or long term maintenance of the property</w:t>
      </w:r>
    </w:p>
    <w:p w:rsidR="00CD3476" w:rsidRPr="00186E23" w:rsidRDefault="00CD3476" w:rsidP="00CD3476">
      <w:pPr>
        <w:pStyle w:val="ListParagraph"/>
        <w:numPr>
          <w:ilvl w:val="0"/>
          <w:numId w:val="27"/>
        </w:numPr>
        <w:spacing w:before="120" w:after="240"/>
        <w:rPr>
          <w:rFonts w:ascii="Arial" w:hAnsi="Arial"/>
        </w:rPr>
      </w:pPr>
      <w:r w:rsidRPr="00186E23">
        <w:rPr>
          <w:rFonts w:ascii="Arial" w:hAnsi="Arial"/>
        </w:rPr>
        <w:t>will breach, statutory, regulatory, planning and/ or building regulations</w:t>
      </w:r>
    </w:p>
    <w:p w:rsidR="00186E23" w:rsidRPr="00186E23" w:rsidRDefault="00186E23" w:rsidP="00CD3476">
      <w:pPr>
        <w:pStyle w:val="ListParagraph"/>
        <w:numPr>
          <w:ilvl w:val="0"/>
          <w:numId w:val="27"/>
        </w:numPr>
        <w:spacing w:before="120" w:after="240"/>
        <w:rPr>
          <w:rFonts w:ascii="Arial" w:hAnsi="Arial"/>
        </w:rPr>
      </w:pPr>
      <w:r w:rsidRPr="00186E23">
        <w:rPr>
          <w:rFonts w:ascii="Arial" w:hAnsi="Arial"/>
        </w:rPr>
        <w:t>will be likely to have a significant environmental impact to the detriment of the surrounding area</w:t>
      </w:r>
    </w:p>
    <w:p w:rsidR="00CD3476" w:rsidRPr="00186E23" w:rsidRDefault="00CD3476" w:rsidP="00CD3476">
      <w:pPr>
        <w:pStyle w:val="ListParagraph"/>
        <w:spacing w:before="120" w:after="240"/>
        <w:ind w:left="794"/>
        <w:rPr>
          <w:rFonts w:ascii="Arial" w:hAnsi="Arial"/>
        </w:rPr>
      </w:pPr>
    </w:p>
    <w:p w:rsidR="00186E23" w:rsidRPr="00186E23" w:rsidRDefault="00186E23" w:rsidP="00186E23">
      <w:pPr>
        <w:pStyle w:val="ListParagraph"/>
        <w:numPr>
          <w:ilvl w:val="1"/>
          <w:numId w:val="15"/>
        </w:numPr>
        <w:spacing w:before="120"/>
        <w:rPr>
          <w:rFonts w:ascii="Arial" w:hAnsi="Arial"/>
        </w:rPr>
      </w:pPr>
      <w:r w:rsidRPr="00186E23">
        <w:rPr>
          <w:rFonts w:ascii="Arial" w:hAnsi="Arial"/>
        </w:rPr>
        <w:t xml:space="preserve">Where permission is </w:t>
      </w:r>
      <w:r w:rsidRPr="00EB657C">
        <w:rPr>
          <w:rFonts w:ascii="Arial" w:hAnsi="Arial"/>
        </w:rPr>
        <w:t>refused a</w:t>
      </w:r>
      <w:r w:rsidR="00942F8B" w:rsidRPr="00EB657C">
        <w:rPr>
          <w:rFonts w:ascii="Arial" w:hAnsi="Arial"/>
        </w:rPr>
        <w:t xml:space="preserve"> written</w:t>
      </w:r>
      <w:r w:rsidRPr="00EB657C">
        <w:rPr>
          <w:rFonts w:ascii="Arial" w:hAnsi="Arial"/>
        </w:rPr>
        <w:t xml:space="preserve"> explanation </w:t>
      </w:r>
      <w:r w:rsidRPr="00186E23">
        <w:rPr>
          <w:rFonts w:ascii="Arial" w:hAnsi="Arial"/>
        </w:rPr>
        <w:t xml:space="preserve">will be provided. </w:t>
      </w:r>
    </w:p>
    <w:p w:rsidR="00186E23" w:rsidRPr="00186E23" w:rsidRDefault="00186E23" w:rsidP="00186E23">
      <w:pPr>
        <w:pStyle w:val="ListParagraph"/>
        <w:spacing w:before="120"/>
        <w:ind w:left="794"/>
        <w:rPr>
          <w:rFonts w:ascii="Arial" w:hAnsi="Arial"/>
        </w:rPr>
      </w:pPr>
    </w:p>
    <w:p w:rsidR="00186E23" w:rsidRPr="00186E23" w:rsidRDefault="00186E23" w:rsidP="00186E23">
      <w:pPr>
        <w:pStyle w:val="ListParagraph"/>
        <w:numPr>
          <w:ilvl w:val="1"/>
          <w:numId w:val="15"/>
        </w:numPr>
        <w:spacing w:before="120"/>
        <w:rPr>
          <w:rFonts w:ascii="Arial" w:hAnsi="Arial"/>
        </w:rPr>
      </w:pPr>
      <w:r w:rsidRPr="00186E23">
        <w:rPr>
          <w:rFonts w:ascii="Arial" w:hAnsi="Arial"/>
        </w:rPr>
        <w:t xml:space="preserve">The applicant may submit a revised proposal or appeal against the decision via Poplar HARCA’s complaints procedure. </w:t>
      </w:r>
    </w:p>
    <w:p w:rsidR="008A0EE1" w:rsidRDefault="008A0EE1" w:rsidP="008A0EE1">
      <w:pPr>
        <w:pStyle w:val="Heading1"/>
        <w:keepLines w:val="0"/>
        <w:numPr>
          <w:ilvl w:val="0"/>
          <w:numId w:val="15"/>
        </w:numPr>
        <w:spacing w:before="360" w:after="240"/>
        <w:jc w:val="left"/>
        <w:rPr>
          <w:rFonts w:ascii="Arial" w:hAnsi="Arial" w:cs="Arial"/>
          <w:sz w:val="26"/>
          <w:szCs w:val="26"/>
        </w:rPr>
      </w:pPr>
      <w:bookmarkStart w:id="25" w:name="_Toc509215903"/>
      <w:r>
        <w:rPr>
          <w:rFonts w:ascii="Arial" w:hAnsi="Arial" w:cs="Arial"/>
          <w:sz w:val="26"/>
          <w:szCs w:val="26"/>
        </w:rPr>
        <w:t>Alterations without permission</w:t>
      </w:r>
      <w:bookmarkEnd w:id="25"/>
    </w:p>
    <w:p w:rsidR="008A0EE1" w:rsidRDefault="00186E23" w:rsidP="008A0EE1">
      <w:pPr>
        <w:pStyle w:val="ListParagraph"/>
        <w:numPr>
          <w:ilvl w:val="1"/>
          <w:numId w:val="15"/>
        </w:numPr>
        <w:spacing w:before="120" w:after="240"/>
        <w:rPr>
          <w:rFonts w:ascii="Arial" w:hAnsi="Arial"/>
        </w:rPr>
      </w:pPr>
      <w:r>
        <w:rPr>
          <w:rFonts w:ascii="Arial" w:hAnsi="Arial"/>
        </w:rPr>
        <w:t xml:space="preserve">If an alteration has been carried out without consent, an application should be made retrospectively. </w:t>
      </w:r>
    </w:p>
    <w:p w:rsidR="008A0EE1" w:rsidRPr="008A0EE1" w:rsidRDefault="008A0EE1" w:rsidP="008A0EE1">
      <w:pPr>
        <w:pStyle w:val="ListParagraph"/>
        <w:spacing w:before="120" w:after="240"/>
        <w:ind w:left="794"/>
        <w:rPr>
          <w:rFonts w:ascii="Arial" w:hAnsi="Arial"/>
        </w:rPr>
      </w:pPr>
    </w:p>
    <w:p w:rsidR="008A0EE1" w:rsidRDefault="00186E23" w:rsidP="008A0EE1">
      <w:pPr>
        <w:pStyle w:val="ListParagraph"/>
        <w:numPr>
          <w:ilvl w:val="1"/>
          <w:numId w:val="15"/>
        </w:numPr>
        <w:spacing w:before="120"/>
        <w:rPr>
          <w:rFonts w:ascii="Arial" w:hAnsi="Arial"/>
        </w:rPr>
      </w:pPr>
      <w:r>
        <w:rPr>
          <w:rFonts w:ascii="Arial" w:hAnsi="Arial"/>
        </w:rPr>
        <w:t xml:space="preserve">Where permission has not been granted and works do not meet the required standards, the occupant will be required to restore the property to its original condition at their own expense. </w:t>
      </w:r>
    </w:p>
    <w:p w:rsidR="00186E23" w:rsidRPr="00186E23" w:rsidRDefault="00186E23" w:rsidP="00186E23">
      <w:pPr>
        <w:pStyle w:val="ListParagraph"/>
        <w:rPr>
          <w:rFonts w:ascii="Arial" w:hAnsi="Arial"/>
        </w:rPr>
      </w:pPr>
    </w:p>
    <w:p w:rsidR="00186E23" w:rsidRDefault="00186E23" w:rsidP="008A0EE1">
      <w:pPr>
        <w:pStyle w:val="ListParagraph"/>
        <w:numPr>
          <w:ilvl w:val="1"/>
          <w:numId w:val="15"/>
        </w:numPr>
        <w:spacing w:before="120"/>
        <w:rPr>
          <w:rFonts w:ascii="Arial" w:hAnsi="Arial"/>
        </w:rPr>
      </w:pPr>
      <w:r>
        <w:rPr>
          <w:rFonts w:ascii="Arial" w:hAnsi="Arial"/>
        </w:rPr>
        <w:t xml:space="preserve">If it is believed that there is a serious risk to the integrity of the structure, or to the health and safety of the resident, visitors to the property or the public, Poplar HARCA may carry out works. The resident or lease/ license holder will be liable for all costs associated with these works.  </w:t>
      </w:r>
    </w:p>
    <w:p w:rsidR="00271ADE" w:rsidRDefault="00271ADE" w:rsidP="00271ADE">
      <w:pPr>
        <w:pStyle w:val="Heading1"/>
        <w:keepLines w:val="0"/>
        <w:numPr>
          <w:ilvl w:val="0"/>
          <w:numId w:val="15"/>
        </w:numPr>
        <w:spacing w:before="360" w:after="240"/>
        <w:jc w:val="left"/>
        <w:rPr>
          <w:rFonts w:ascii="Arial" w:hAnsi="Arial" w:cs="Arial"/>
          <w:sz w:val="26"/>
          <w:szCs w:val="26"/>
        </w:rPr>
      </w:pPr>
      <w:bookmarkStart w:id="26" w:name="_Toc509215904"/>
      <w:r>
        <w:rPr>
          <w:rFonts w:ascii="Arial" w:hAnsi="Arial" w:cs="Arial"/>
          <w:sz w:val="26"/>
          <w:szCs w:val="26"/>
        </w:rPr>
        <w:lastRenderedPageBreak/>
        <w:t>Compensation for improvements</w:t>
      </w:r>
      <w:bookmarkEnd w:id="26"/>
    </w:p>
    <w:p w:rsidR="00271ADE" w:rsidRDefault="00271ADE" w:rsidP="00271ADE">
      <w:pPr>
        <w:pStyle w:val="ListParagraph"/>
        <w:numPr>
          <w:ilvl w:val="1"/>
          <w:numId w:val="15"/>
        </w:numPr>
        <w:spacing w:before="120" w:after="240"/>
        <w:rPr>
          <w:rFonts w:ascii="Arial" w:hAnsi="Arial"/>
        </w:rPr>
      </w:pPr>
      <w:r>
        <w:rPr>
          <w:rFonts w:ascii="Arial" w:hAnsi="Arial"/>
        </w:rPr>
        <w:t xml:space="preserve">This policy does not effect a tenants statutory rights. </w:t>
      </w:r>
    </w:p>
    <w:p w:rsidR="00271ADE" w:rsidRDefault="00271ADE" w:rsidP="00271ADE">
      <w:pPr>
        <w:pStyle w:val="ListParagraph"/>
        <w:spacing w:before="120" w:after="240"/>
        <w:ind w:left="794"/>
        <w:rPr>
          <w:rFonts w:ascii="Arial" w:hAnsi="Arial"/>
        </w:rPr>
      </w:pPr>
    </w:p>
    <w:p w:rsidR="00164CF2" w:rsidRPr="00164CF2" w:rsidRDefault="00271ADE" w:rsidP="00164CF2">
      <w:pPr>
        <w:pStyle w:val="ListParagraph"/>
        <w:numPr>
          <w:ilvl w:val="1"/>
          <w:numId w:val="15"/>
        </w:numPr>
        <w:spacing w:before="120" w:after="240"/>
        <w:rPr>
          <w:rFonts w:ascii="Arial" w:hAnsi="Arial"/>
        </w:rPr>
      </w:pPr>
      <w:r>
        <w:rPr>
          <w:rFonts w:ascii="Arial" w:hAnsi="Arial"/>
        </w:rPr>
        <w:t xml:space="preserve">In some circumstances, social tenants </w:t>
      </w:r>
      <w:r w:rsidR="00164CF2">
        <w:rPr>
          <w:rFonts w:ascii="Arial" w:hAnsi="Arial"/>
        </w:rPr>
        <w:t xml:space="preserve">may be able to apply for compensation for certain improvements they have made to their home during their tenancy. </w:t>
      </w:r>
    </w:p>
    <w:p w:rsidR="00164CF2" w:rsidRPr="00164CF2" w:rsidRDefault="00164CF2" w:rsidP="00164CF2">
      <w:pPr>
        <w:pStyle w:val="ListParagraph"/>
        <w:rPr>
          <w:rFonts w:ascii="Arial" w:hAnsi="Arial"/>
        </w:rPr>
      </w:pPr>
    </w:p>
    <w:p w:rsidR="00164CF2" w:rsidRDefault="00164CF2" w:rsidP="00271ADE">
      <w:pPr>
        <w:pStyle w:val="ListParagraph"/>
        <w:numPr>
          <w:ilvl w:val="1"/>
          <w:numId w:val="15"/>
        </w:numPr>
        <w:spacing w:before="120" w:after="240"/>
        <w:rPr>
          <w:rFonts w:ascii="Arial" w:hAnsi="Arial"/>
        </w:rPr>
      </w:pPr>
      <w:r>
        <w:rPr>
          <w:rFonts w:ascii="Arial" w:hAnsi="Arial"/>
        </w:rPr>
        <w:t>Eligible improvements may include:</w:t>
      </w:r>
    </w:p>
    <w:p w:rsidR="00164CF2" w:rsidRPr="00164CF2" w:rsidRDefault="00164CF2" w:rsidP="00164CF2">
      <w:pPr>
        <w:pStyle w:val="ListParagraph"/>
        <w:rPr>
          <w:rFonts w:ascii="Arial" w:hAnsi="Arial"/>
        </w:rPr>
      </w:pPr>
    </w:p>
    <w:p w:rsidR="00164CF2" w:rsidRDefault="00164CF2" w:rsidP="00164CF2">
      <w:pPr>
        <w:pStyle w:val="ListParagraph"/>
        <w:numPr>
          <w:ilvl w:val="0"/>
          <w:numId w:val="29"/>
        </w:numPr>
        <w:spacing w:before="120" w:after="240"/>
        <w:rPr>
          <w:rFonts w:ascii="Arial" w:hAnsi="Arial"/>
        </w:rPr>
      </w:pPr>
      <w:r>
        <w:rPr>
          <w:rFonts w:ascii="Arial" w:hAnsi="Arial"/>
        </w:rPr>
        <w:t>Loft insulation</w:t>
      </w:r>
    </w:p>
    <w:p w:rsidR="00164CF2" w:rsidRDefault="00164CF2" w:rsidP="00164CF2">
      <w:pPr>
        <w:pStyle w:val="ListParagraph"/>
        <w:numPr>
          <w:ilvl w:val="0"/>
          <w:numId w:val="29"/>
        </w:numPr>
        <w:spacing w:before="120" w:after="240"/>
        <w:rPr>
          <w:rFonts w:ascii="Arial" w:hAnsi="Arial"/>
        </w:rPr>
      </w:pPr>
      <w:r>
        <w:rPr>
          <w:rFonts w:ascii="Arial" w:hAnsi="Arial"/>
        </w:rPr>
        <w:t>Installing a new kitchen</w:t>
      </w:r>
    </w:p>
    <w:p w:rsidR="00164CF2" w:rsidRDefault="00164CF2" w:rsidP="00164CF2">
      <w:pPr>
        <w:pStyle w:val="ListParagraph"/>
        <w:numPr>
          <w:ilvl w:val="0"/>
          <w:numId w:val="29"/>
        </w:numPr>
        <w:spacing w:before="120" w:after="240"/>
        <w:rPr>
          <w:rFonts w:ascii="Arial" w:hAnsi="Arial"/>
        </w:rPr>
      </w:pPr>
      <w:r>
        <w:rPr>
          <w:rFonts w:ascii="Arial" w:hAnsi="Arial"/>
        </w:rPr>
        <w:t>New bathroom suite</w:t>
      </w:r>
    </w:p>
    <w:p w:rsidR="00164CF2" w:rsidRPr="00164CF2" w:rsidRDefault="00164CF2" w:rsidP="00164CF2">
      <w:pPr>
        <w:pStyle w:val="ListParagraph"/>
        <w:rPr>
          <w:rFonts w:ascii="Arial" w:hAnsi="Arial"/>
        </w:rPr>
      </w:pPr>
    </w:p>
    <w:p w:rsidR="00271ADE" w:rsidRDefault="00164CF2" w:rsidP="00271ADE">
      <w:pPr>
        <w:pStyle w:val="ListParagraph"/>
        <w:numPr>
          <w:ilvl w:val="1"/>
          <w:numId w:val="15"/>
        </w:numPr>
        <w:spacing w:before="120" w:after="240"/>
        <w:rPr>
          <w:rFonts w:ascii="Arial" w:hAnsi="Arial"/>
        </w:rPr>
      </w:pPr>
      <w:r>
        <w:rPr>
          <w:rFonts w:ascii="Arial" w:hAnsi="Arial"/>
        </w:rPr>
        <w:t>Tenants can apply for compensation for improvements when their tenancy ends.</w:t>
      </w:r>
    </w:p>
    <w:p w:rsidR="00271ADE" w:rsidRPr="008A0EE1" w:rsidRDefault="00271ADE" w:rsidP="00271ADE">
      <w:pPr>
        <w:pStyle w:val="ListParagraph"/>
        <w:spacing w:before="120" w:after="240"/>
        <w:ind w:left="794"/>
        <w:rPr>
          <w:rFonts w:ascii="Arial" w:hAnsi="Arial"/>
        </w:rPr>
      </w:pPr>
    </w:p>
    <w:p w:rsidR="00271ADE" w:rsidRDefault="00164CF2" w:rsidP="00271ADE">
      <w:pPr>
        <w:pStyle w:val="ListParagraph"/>
        <w:numPr>
          <w:ilvl w:val="1"/>
          <w:numId w:val="15"/>
        </w:numPr>
        <w:spacing w:before="120"/>
        <w:rPr>
          <w:rFonts w:ascii="Arial" w:hAnsi="Arial"/>
        </w:rPr>
      </w:pPr>
      <w:r>
        <w:rPr>
          <w:rFonts w:ascii="Arial" w:hAnsi="Arial"/>
        </w:rPr>
        <w:t xml:space="preserve">Compensation for improvements will only be considered if written permission was sought and granted at the time the improvement was carried out. </w:t>
      </w:r>
    </w:p>
    <w:p w:rsidR="00164CF2" w:rsidRPr="00164CF2" w:rsidRDefault="00164CF2" w:rsidP="00164CF2">
      <w:pPr>
        <w:pStyle w:val="ListParagraph"/>
        <w:rPr>
          <w:rFonts w:ascii="Arial" w:hAnsi="Arial"/>
        </w:rPr>
      </w:pPr>
    </w:p>
    <w:p w:rsidR="00164CF2" w:rsidRDefault="00164CF2" w:rsidP="00271ADE">
      <w:pPr>
        <w:pStyle w:val="ListParagraph"/>
        <w:numPr>
          <w:ilvl w:val="1"/>
          <w:numId w:val="15"/>
        </w:numPr>
        <w:spacing w:before="120"/>
        <w:rPr>
          <w:rFonts w:ascii="Arial" w:hAnsi="Arial"/>
        </w:rPr>
      </w:pPr>
      <w:r>
        <w:rPr>
          <w:rFonts w:ascii="Arial" w:hAnsi="Arial"/>
        </w:rPr>
        <w:t>Private tenants, leaseholders and license holders are not eligible for compensation for improvements.</w:t>
      </w:r>
    </w:p>
    <w:p w:rsidR="00271ADE" w:rsidRDefault="00271ADE" w:rsidP="008A0EE1"/>
    <w:p w:rsidR="00AC3B8C" w:rsidRDefault="00AC3B8C" w:rsidP="00AC3B8C">
      <w:pPr>
        <w:pStyle w:val="Heading1"/>
        <w:keepLines w:val="0"/>
        <w:numPr>
          <w:ilvl w:val="0"/>
          <w:numId w:val="15"/>
        </w:numPr>
        <w:spacing w:before="0"/>
        <w:jc w:val="left"/>
        <w:rPr>
          <w:rFonts w:ascii="Arial" w:hAnsi="Arial" w:cs="Arial"/>
          <w:sz w:val="26"/>
          <w:szCs w:val="26"/>
        </w:rPr>
      </w:pPr>
      <w:bookmarkStart w:id="27" w:name="_Toc509215905"/>
      <w:r w:rsidRPr="001633EC">
        <w:rPr>
          <w:rFonts w:ascii="Arial" w:hAnsi="Arial" w:cs="Arial"/>
          <w:sz w:val="26"/>
          <w:szCs w:val="26"/>
        </w:rPr>
        <w:t>Policy review</w:t>
      </w:r>
      <w:bookmarkEnd w:id="27"/>
    </w:p>
    <w:p w:rsidR="00AC3B8C" w:rsidRPr="0002294E" w:rsidRDefault="00AC3B8C" w:rsidP="00AC3B8C"/>
    <w:p w:rsidR="00AC3B8C" w:rsidRPr="001633EC" w:rsidRDefault="00AC3B8C" w:rsidP="00AC3B8C">
      <w:pPr>
        <w:pStyle w:val="ListParagraph"/>
        <w:numPr>
          <w:ilvl w:val="1"/>
          <w:numId w:val="15"/>
        </w:numPr>
        <w:rPr>
          <w:rFonts w:ascii="Arial" w:hAnsi="Arial"/>
        </w:rPr>
      </w:pPr>
      <w:r w:rsidRPr="001633EC">
        <w:rPr>
          <w:rFonts w:ascii="Arial" w:hAnsi="Arial"/>
        </w:rPr>
        <w:t xml:space="preserve">Policies are </w:t>
      </w:r>
      <w:r w:rsidR="008A0EE1">
        <w:rPr>
          <w:rFonts w:ascii="Arial" w:hAnsi="Arial"/>
        </w:rPr>
        <w:t>reviewed every 5</w:t>
      </w:r>
      <w:r w:rsidRPr="001633EC">
        <w:rPr>
          <w:rFonts w:ascii="Arial" w:hAnsi="Arial"/>
        </w:rPr>
        <w:t xml:space="preserve"> years or sooner if they no longer reflect best practice. </w:t>
      </w:r>
    </w:p>
    <w:p w:rsidR="00AC3B8C" w:rsidRDefault="00AC3B8C" w:rsidP="0002294E"/>
    <w:p w:rsidR="00736FC0" w:rsidRPr="0002294E" w:rsidRDefault="00736FC0" w:rsidP="0002294E">
      <w:pPr>
        <w:pStyle w:val="Heading1"/>
        <w:keepLines w:val="0"/>
        <w:numPr>
          <w:ilvl w:val="0"/>
          <w:numId w:val="15"/>
        </w:numPr>
        <w:spacing w:before="0"/>
        <w:jc w:val="left"/>
        <w:rPr>
          <w:rFonts w:ascii="Arial" w:hAnsi="Arial" w:cs="Arial"/>
          <w:sz w:val="26"/>
          <w:szCs w:val="26"/>
        </w:rPr>
      </w:pPr>
      <w:bookmarkStart w:id="28" w:name="_Toc509215906"/>
      <w:r w:rsidRPr="0002294E">
        <w:rPr>
          <w:rFonts w:ascii="Arial" w:hAnsi="Arial" w:cs="Arial"/>
          <w:sz w:val="26"/>
          <w:szCs w:val="26"/>
        </w:rPr>
        <w:t>Appendix 1: Impact assessment</w:t>
      </w:r>
      <w:bookmarkEnd w:id="28"/>
    </w:p>
    <w:p w:rsidR="00032F73" w:rsidRDefault="00032F73" w:rsidP="0002294E"/>
    <w:tbl>
      <w:tblPr>
        <w:tblStyle w:val="GridTable6Colorful-Accent1"/>
        <w:tblW w:w="4663" w:type="pct"/>
        <w:tblBorders>
          <w:top w:val="single" w:sz="4" w:space="0" w:color="00B3BC" w:themeColor="accent1"/>
          <w:left w:val="single" w:sz="4" w:space="0" w:color="00B3BC" w:themeColor="accent1"/>
          <w:bottom w:val="single" w:sz="4" w:space="0" w:color="00B3BC" w:themeColor="accent1"/>
          <w:right w:val="single" w:sz="4" w:space="0" w:color="00B3BC" w:themeColor="accent1"/>
          <w:insideH w:val="single" w:sz="4" w:space="0" w:color="00B3BC" w:themeColor="accent1"/>
          <w:insideV w:val="single" w:sz="4" w:space="0" w:color="00B3BC" w:themeColor="accent1"/>
        </w:tblBorders>
        <w:tblLook w:val="04A0" w:firstRow="1" w:lastRow="0" w:firstColumn="1" w:lastColumn="0" w:noHBand="0" w:noVBand="1"/>
      </w:tblPr>
      <w:tblGrid>
        <w:gridCol w:w="2904"/>
        <w:gridCol w:w="6069"/>
      </w:tblGrid>
      <w:tr w:rsidR="001B6B2F" w:rsidTr="00214771">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618" w:type="pct"/>
            <w:tcBorders>
              <w:bottom w:val="none" w:sz="0" w:space="0" w:color="auto"/>
            </w:tcBorders>
            <w:hideMark/>
          </w:tcPr>
          <w:p w:rsidR="001B6B2F" w:rsidRDefault="001B6B2F" w:rsidP="00214771">
            <w:pPr>
              <w:rPr>
                <w:bCs w:val="0"/>
                <w:color w:val="auto"/>
              </w:rPr>
            </w:pPr>
            <w:r w:rsidRPr="005C63CF">
              <w:rPr>
                <w:bCs w:val="0"/>
                <w:color w:val="auto"/>
              </w:rPr>
              <w:t>How does the policy/procedure/strategy contribute to Poplar HARCA’s aims?</w:t>
            </w:r>
          </w:p>
          <w:p w:rsidR="001B6B2F" w:rsidRPr="005C63CF" w:rsidRDefault="001B6B2F" w:rsidP="00214771">
            <w:pPr>
              <w:rPr>
                <w:bCs w:val="0"/>
                <w:color w:val="auto"/>
              </w:rPr>
            </w:pPr>
          </w:p>
        </w:tc>
        <w:tc>
          <w:tcPr>
            <w:tcW w:w="3382" w:type="pct"/>
            <w:tcBorders>
              <w:bottom w:val="none" w:sz="0" w:space="0" w:color="auto"/>
            </w:tcBorders>
          </w:tcPr>
          <w:p w:rsidR="001B6B2F" w:rsidRDefault="000736A6" w:rsidP="000736A6">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By clearly setting out Poplar HARCA’s approach to ensuring that the structural integrity of our properties is maintained and that the health, safety and wellbeing of those who live, work and visit our properties is safeguarded. </w:t>
            </w:r>
            <w:r w:rsidR="000B0B81">
              <w:rPr>
                <w:b w:val="0"/>
                <w:color w:val="auto"/>
              </w:rPr>
              <w:t>It also ensu</w:t>
            </w:r>
            <w:r w:rsidR="00A62FD1">
              <w:rPr>
                <w:b w:val="0"/>
                <w:color w:val="auto"/>
              </w:rPr>
              <w:t xml:space="preserve">res that the cost of the alteration is the responsibility of the occupant, and does not adversely impact Poplar HARCA, its tenants or leaseholders. </w:t>
            </w:r>
          </w:p>
          <w:p w:rsidR="00A62FD1" w:rsidRPr="00982689" w:rsidRDefault="00A62FD1" w:rsidP="000736A6">
            <w:pPr>
              <w:cnfStyle w:val="100000000000" w:firstRow="1" w:lastRow="0" w:firstColumn="0" w:lastColumn="0" w:oddVBand="0" w:evenVBand="0" w:oddHBand="0" w:evenHBand="0" w:firstRowFirstColumn="0" w:firstRowLastColumn="0" w:lastRowFirstColumn="0" w:lastRowLastColumn="0"/>
              <w:rPr>
                <w:b w:val="0"/>
                <w:color w:val="auto"/>
              </w:rPr>
            </w:pPr>
          </w:p>
        </w:tc>
      </w:tr>
      <w:tr w:rsidR="001B6B2F" w:rsidTr="00214771">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618" w:type="pct"/>
            <w:hideMark/>
          </w:tcPr>
          <w:p w:rsidR="001B6B2F" w:rsidRPr="005C63CF" w:rsidRDefault="001B6B2F" w:rsidP="00214771">
            <w:pPr>
              <w:rPr>
                <w:bCs w:val="0"/>
                <w:color w:val="auto"/>
              </w:rPr>
            </w:pPr>
            <w:r w:rsidRPr="005C63CF">
              <w:rPr>
                <w:bCs w:val="0"/>
                <w:color w:val="auto"/>
              </w:rPr>
              <w:t>Which group(s) of people benefit from the policy/procedure/strategy?</w:t>
            </w:r>
          </w:p>
          <w:p w:rsidR="001B6B2F" w:rsidRDefault="001B6B2F" w:rsidP="00214771">
            <w:pPr>
              <w:rPr>
                <w:bCs w:val="0"/>
                <w:color w:val="auto"/>
              </w:rPr>
            </w:pPr>
            <w:r w:rsidRPr="005C63CF">
              <w:rPr>
                <w:bCs w:val="0"/>
                <w:color w:val="auto"/>
              </w:rPr>
              <w:t>If any group could be disadvantaged, what is the mitigation or justification?</w:t>
            </w:r>
          </w:p>
          <w:p w:rsidR="001B6B2F" w:rsidRPr="005C63CF" w:rsidRDefault="001B6B2F" w:rsidP="00214771">
            <w:pPr>
              <w:rPr>
                <w:bCs w:val="0"/>
                <w:color w:val="auto"/>
              </w:rPr>
            </w:pPr>
          </w:p>
        </w:tc>
        <w:tc>
          <w:tcPr>
            <w:tcW w:w="3382" w:type="pct"/>
          </w:tcPr>
          <w:p w:rsidR="00271ADE" w:rsidRDefault="000736A6" w:rsidP="000736A6">
            <w:pPr>
              <w:cnfStyle w:val="000000100000" w:firstRow="0" w:lastRow="0" w:firstColumn="0" w:lastColumn="0" w:oddVBand="0" w:evenVBand="0" w:oddHBand="1" w:evenHBand="0" w:firstRowFirstColumn="0" w:firstRowLastColumn="0" w:lastRowFirstColumn="0" w:lastRowLastColumn="0"/>
              <w:rPr>
                <w:color w:val="auto"/>
              </w:rPr>
            </w:pPr>
            <w:r w:rsidRPr="00760217">
              <w:rPr>
                <w:color w:val="auto"/>
              </w:rPr>
              <w:t>All groups benefit from th</w:t>
            </w:r>
            <w:r>
              <w:rPr>
                <w:color w:val="auto"/>
              </w:rPr>
              <w:t>is policy in terms of health &amp; s</w:t>
            </w:r>
            <w:r w:rsidRPr="00760217">
              <w:rPr>
                <w:color w:val="auto"/>
              </w:rPr>
              <w:t>afety</w:t>
            </w:r>
            <w:r w:rsidR="000B0B81">
              <w:rPr>
                <w:color w:val="auto"/>
              </w:rPr>
              <w:t xml:space="preserve"> and value for money</w:t>
            </w:r>
            <w:r w:rsidRPr="00760217">
              <w:rPr>
                <w:color w:val="auto"/>
              </w:rPr>
              <w:t xml:space="preserve">.  </w:t>
            </w:r>
          </w:p>
          <w:p w:rsidR="00271ADE" w:rsidRDefault="00271ADE" w:rsidP="000736A6">
            <w:pPr>
              <w:cnfStyle w:val="000000100000" w:firstRow="0" w:lastRow="0" w:firstColumn="0" w:lastColumn="0" w:oddVBand="0" w:evenVBand="0" w:oddHBand="1" w:evenHBand="0" w:firstRowFirstColumn="0" w:firstRowLastColumn="0" w:lastRowFirstColumn="0" w:lastRowLastColumn="0"/>
              <w:rPr>
                <w:color w:val="auto"/>
              </w:rPr>
            </w:pPr>
          </w:p>
          <w:p w:rsidR="000736A6" w:rsidRDefault="00271ADE" w:rsidP="000736A6">
            <w:pPr>
              <w:cnfStyle w:val="000000100000" w:firstRow="0" w:lastRow="0" w:firstColumn="0" w:lastColumn="0" w:oddVBand="0" w:evenVBand="0" w:oddHBand="1" w:evenHBand="0" w:firstRowFirstColumn="0" w:firstRowLastColumn="0" w:lastRowFirstColumn="0" w:lastRowLastColumn="0"/>
              <w:rPr>
                <w:color w:val="auto"/>
              </w:rPr>
            </w:pPr>
            <w:r w:rsidRPr="00271ADE">
              <w:rPr>
                <w:color w:val="auto"/>
              </w:rPr>
              <w:t>There is no evidence to suggest that any group will be disadvantaged by this policy as the default position is that Poplar HARCA will comply with its contractual obligations to all residents.</w:t>
            </w:r>
          </w:p>
          <w:p w:rsidR="000736A6" w:rsidRPr="00982689" w:rsidRDefault="000736A6" w:rsidP="000736A6">
            <w:pPr>
              <w:cnfStyle w:val="000000100000" w:firstRow="0" w:lastRow="0" w:firstColumn="0" w:lastColumn="0" w:oddVBand="0" w:evenVBand="0" w:oddHBand="1" w:evenHBand="0" w:firstRowFirstColumn="0" w:firstRowLastColumn="0" w:lastRowFirstColumn="0" w:lastRowLastColumn="0"/>
              <w:rPr>
                <w:color w:val="auto"/>
              </w:rPr>
            </w:pPr>
          </w:p>
        </w:tc>
      </w:tr>
      <w:tr w:rsidR="001B6B2F" w:rsidTr="00214771">
        <w:tc>
          <w:tcPr>
            <w:cnfStyle w:val="001000000000" w:firstRow="0" w:lastRow="0" w:firstColumn="1" w:lastColumn="0" w:oddVBand="0" w:evenVBand="0" w:oddHBand="0" w:evenHBand="0" w:firstRowFirstColumn="0" w:firstRowLastColumn="0" w:lastRowFirstColumn="0" w:lastRowLastColumn="0"/>
            <w:tcW w:w="1618" w:type="pct"/>
            <w:hideMark/>
          </w:tcPr>
          <w:p w:rsidR="001B6B2F" w:rsidRPr="005C63CF" w:rsidRDefault="001B6B2F" w:rsidP="00214771">
            <w:pPr>
              <w:rPr>
                <w:bCs w:val="0"/>
                <w:color w:val="auto"/>
              </w:rPr>
            </w:pPr>
            <w:r w:rsidRPr="005C63CF">
              <w:rPr>
                <w:bCs w:val="0"/>
                <w:color w:val="auto"/>
              </w:rPr>
              <w:t xml:space="preserve">How have residents been involved in developing the policy/procedure/strategy?  </w:t>
            </w:r>
          </w:p>
          <w:p w:rsidR="001B6B2F" w:rsidRDefault="001B6B2F" w:rsidP="00214771">
            <w:pPr>
              <w:rPr>
                <w:bCs w:val="0"/>
                <w:color w:val="auto"/>
              </w:rPr>
            </w:pPr>
            <w:r w:rsidRPr="005C63CF">
              <w:rPr>
                <w:bCs w:val="0"/>
                <w:color w:val="auto"/>
              </w:rPr>
              <w:t>If they have not been involved, why not?</w:t>
            </w:r>
          </w:p>
          <w:p w:rsidR="001B6B2F" w:rsidRPr="005C63CF" w:rsidRDefault="001B6B2F" w:rsidP="00214771">
            <w:pPr>
              <w:rPr>
                <w:bCs w:val="0"/>
                <w:color w:val="auto"/>
              </w:rPr>
            </w:pPr>
          </w:p>
        </w:tc>
        <w:tc>
          <w:tcPr>
            <w:tcW w:w="3382" w:type="pct"/>
          </w:tcPr>
          <w:p w:rsidR="000B0B81" w:rsidRDefault="000B0B81" w:rsidP="000B0B81">
            <w:pPr>
              <w:cnfStyle w:val="000000000000" w:firstRow="0" w:lastRow="0" w:firstColumn="0" w:lastColumn="0" w:oddVBand="0" w:evenVBand="0" w:oddHBand="0" w:evenHBand="0" w:firstRowFirstColumn="0" w:firstRowLastColumn="0" w:lastRowFirstColumn="0" w:lastRowLastColumn="0"/>
              <w:rPr>
                <w:color w:val="auto"/>
              </w:rPr>
            </w:pPr>
            <w:r w:rsidRPr="00760217">
              <w:rPr>
                <w:color w:val="auto"/>
              </w:rPr>
              <w:t>There is no scope for resident involvement other than Board approval.</w:t>
            </w:r>
          </w:p>
          <w:p w:rsidR="000B0B81" w:rsidRDefault="000B0B81" w:rsidP="000B0B81">
            <w:pPr>
              <w:cnfStyle w:val="000000000000" w:firstRow="0" w:lastRow="0" w:firstColumn="0" w:lastColumn="0" w:oddVBand="0" w:evenVBand="0" w:oddHBand="0" w:evenHBand="0" w:firstRowFirstColumn="0" w:firstRowLastColumn="0" w:lastRowFirstColumn="0" w:lastRowLastColumn="0"/>
              <w:rPr>
                <w:color w:val="auto"/>
              </w:rPr>
            </w:pPr>
          </w:p>
          <w:p w:rsidR="000B0B81" w:rsidRDefault="000736A6" w:rsidP="000B0B81">
            <w:pPr>
              <w:cnfStyle w:val="000000000000" w:firstRow="0" w:lastRow="0" w:firstColumn="0" w:lastColumn="0" w:oddVBand="0" w:evenVBand="0" w:oddHBand="0" w:evenHBand="0" w:firstRowFirstColumn="0" w:firstRowLastColumn="0" w:lastRowFirstColumn="0" w:lastRowLastColumn="0"/>
              <w:rPr>
                <w:color w:val="auto"/>
              </w:rPr>
            </w:pPr>
            <w:r w:rsidRPr="00760217">
              <w:rPr>
                <w:color w:val="auto"/>
              </w:rPr>
              <w:t xml:space="preserve">The policy is a statement of our </w:t>
            </w:r>
            <w:r>
              <w:rPr>
                <w:color w:val="auto"/>
              </w:rPr>
              <w:t xml:space="preserve">requirement for works to be approved by </w:t>
            </w:r>
            <w:r w:rsidR="000B0B81">
              <w:rPr>
                <w:color w:val="auto"/>
              </w:rPr>
              <w:t xml:space="preserve">suitably qualified members of staff and </w:t>
            </w:r>
            <w:r>
              <w:rPr>
                <w:color w:val="auto"/>
              </w:rPr>
              <w:t xml:space="preserve">for works to meet all statutory obligations. </w:t>
            </w:r>
            <w:r w:rsidR="000B0B81">
              <w:rPr>
                <w:color w:val="auto"/>
              </w:rPr>
              <w:t xml:space="preserve">This reduces fire risk and protects the health and safety of other users of the building, as well as the structure of the building. </w:t>
            </w:r>
          </w:p>
          <w:p w:rsidR="000B0B81" w:rsidRDefault="000B0B81" w:rsidP="000B0B81">
            <w:pPr>
              <w:cnfStyle w:val="000000000000" w:firstRow="0" w:lastRow="0" w:firstColumn="0" w:lastColumn="0" w:oddVBand="0" w:evenVBand="0" w:oddHBand="0" w:evenHBand="0" w:firstRowFirstColumn="0" w:firstRowLastColumn="0" w:lastRowFirstColumn="0" w:lastRowLastColumn="0"/>
              <w:rPr>
                <w:color w:val="auto"/>
              </w:rPr>
            </w:pPr>
          </w:p>
          <w:p w:rsidR="000B0B81" w:rsidRDefault="000B0B81" w:rsidP="000B0B8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The policy also ensures that Poplar HARCA, its tenants and leaseholders are not financially disadvantaged by alterations carried out by other occupants. </w:t>
            </w:r>
          </w:p>
          <w:p w:rsidR="001B6B2F" w:rsidRPr="00982689" w:rsidRDefault="001B6B2F" w:rsidP="000B0B81">
            <w:pPr>
              <w:cnfStyle w:val="000000000000" w:firstRow="0" w:lastRow="0" w:firstColumn="0" w:lastColumn="0" w:oddVBand="0" w:evenVBand="0" w:oddHBand="0" w:evenHBand="0" w:firstRowFirstColumn="0" w:firstRowLastColumn="0" w:lastRowFirstColumn="0" w:lastRowLastColumn="0"/>
              <w:rPr>
                <w:color w:val="auto"/>
              </w:rPr>
            </w:pPr>
          </w:p>
        </w:tc>
      </w:tr>
      <w:tr w:rsidR="001B6B2F" w:rsidTr="0021477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618" w:type="pct"/>
            <w:hideMark/>
          </w:tcPr>
          <w:p w:rsidR="001B6B2F" w:rsidRDefault="001B6B2F" w:rsidP="00214771">
            <w:pPr>
              <w:rPr>
                <w:bCs w:val="0"/>
                <w:color w:val="auto"/>
              </w:rPr>
            </w:pPr>
            <w:r w:rsidRPr="005C63CF">
              <w:rPr>
                <w:bCs w:val="0"/>
                <w:color w:val="auto"/>
              </w:rPr>
              <w:lastRenderedPageBreak/>
              <w:t>How will the policy/procedure/strategy be monitored and measured? (e.g. performance indicators?)</w:t>
            </w:r>
          </w:p>
          <w:p w:rsidR="001B6B2F" w:rsidRPr="005C63CF" w:rsidRDefault="001B6B2F" w:rsidP="00214771">
            <w:pPr>
              <w:rPr>
                <w:bCs w:val="0"/>
                <w:color w:val="auto"/>
              </w:rPr>
            </w:pPr>
          </w:p>
        </w:tc>
        <w:tc>
          <w:tcPr>
            <w:tcW w:w="3382" w:type="pct"/>
          </w:tcPr>
          <w:p w:rsidR="001B6B2F" w:rsidRPr="00982689" w:rsidRDefault="00A62FD1" w:rsidP="00214771">
            <w:pPr>
              <w:cnfStyle w:val="000000100000" w:firstRow="0" w:lastRow="0" w:firstColumn="0" w:lastColumn="0" w:oddVBand="0" w:evenVBand="0" w:oddHBand="1" w:evenHBand="0" w:firstRowFirstColumn="0" w:firstRowLastColumn="0" w:lastRowFirstColumn="0" w:lastRowLastColumn="0"/>
              <w:rPr>
                <w:color w:val="auto"/>
              </w:rPr>
            </w:pPr>
            <w:r w:rsidRPr="00760217">
              <w:rPr>
                <w:color w:val="auto"/>
              </w:rPr>
              <w:t>Means of monitoring have been built into the Association’s procedures.</w:t>
            </w:r>
          </w:p>
        </w:tc>
      </w:tr>
      <w:tr w:rsidR="001B6B2F" w:rsidTr="00214771">
        <w:trPr>
          <w:trHeight w:val="50"/>
        </w:trPr>
        <w:tc>
          <w:tcPr>
            <w:cnfStyle w:val="001000000000" w:firstRow="0" w:lastRow="0" w:firstColumn="1" w:lastColumn="0" w:oddVBand="0" w:evenVBand="0" w:oddHBand="0" w:evenHBand="0" w:firstRowFirstColumn="0" w:firstRowLastColumn="0" w:lastRowFirstColumn="0" w:lastRowLastColumn="0"/>
            <w:tcW w:w="1618" w:type="pct"/>
            <w:hideMark/>
          </w:tcPr>
          <w:p w:rsidR="001B6B2F" w:rsidRPr="005C63CF" w:rsidRDefault="001B6B2F" w:rsidP="00214771">
            <w:pPr>
              <w:rPr>
                <w:bCs w:val="0"/>
                <w:color w:val="auto"/>
              </w:rPr>
            </w:pPr>
            <w:r w:rsidRPr="005C63CF">
              <w:rPr>
                <w:bCs w:val="0"/>
                <w:color w:val="auto"/>
              </w:rPr>
              <w:t>If any, what are the Value for Money implications?</w:t>
            </w:r>
          </w:p>
        </w:tc>
        <w:tc>
          <w:tcPr>
            <w:tcW w:w="3382" w:type="pct"/>
          </w:tcPr>
          <w:p w:rsidR="001B6B2F" w:rsidRDefault="00271ADE" w:rsidP="00271ADE">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No concerns about value for money have been identified.  </w:t>
            </w:r>
            <w:r w:rsidR="00A62FD1">
              <w:rPr>
                <w:color w:val="auto"/>
              </w:rPr>
              <w:t>The onus is on the person requesting permission to alter their property to meet all the costs of the alteration, future maintenance</w:t>
            </w:r>
            <w:r>
              <w:rPr>
                <w:color w:val="auto"/>
              </w:rPr>
              <w:t xml:space="preserve"> requirements and other associated expenditure. </w:t>
            </w:r>
            <w:r w:rsidR="00A62FD1">
              <w:rPr>
                <w:color w:val="auto"/>
              </w:rPr>
              <w:t xml:space="preserve">  </w:t>
            </w:r>
          </w:p>
          <w:p w:rsidR="00271ADE" w:rsidRPr="00982689" w:rsidRDefault="00271ADE" w:rsidP="00271ADE">
            <w:pPr>
              <w:cnfStyle w:val="000000000000" w:firstRow="0" w:lastRow="0" w:firstColumn="0" w:lastColumn="0" w:oddVBand="0" w:evenVBand="0" w:oddHBand="0" w:evenHBand="0" w:firstRowFirstColumn="0" w:firstRowLastColumn="0" w:lastRowFirstColumn="0" w:lastRowLastColumn="0"/>
              <w:rPr>
                <w:color w:val="auto"/>
              </w:rPr>
            </w:pPr>
          </w:p>
        </w:tc>
      </w:tr>
    </w:tbl>
    <w:p w:rsidR="007F12F9" w:rsidRDefault="007F12F9" w:rsidP="0002294E"/>
    <w:p w:rsidR="0002294E" w:rsidRDefault="0002294E" w:rsidP="0002294E">
      <w:pPr>
        <w:tabs>
          <w:tab w:val="left" w:pos="2325"/>
        </w:tabs>
      </w:pPr>
    </w:p>
    <w:sectPr w:rsidR="0002294E" w:rsidSect="007E678D">
      <w:footerReference w:type="default" r:id="rId9"/>
      <w:pgSz w:w="11900" w:h="16820"/>
      <w:pgMar w:top="1134" w:right="1134" w:bottom="1134" w:left="1134"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D0" w:rsidRDefault="00E94ED0" w:rsidP="00232716">
      <w:r>
        <w:separator/>
      </w:r>
    </w:p>
  </w:endnote>
  <w:endnote w:type="continuationSeparator" w:id="0">
    <w:p w:rsidR="00E94ED0" w:rsidRDefault="00E94ED0" w:rsidP="0023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Gothic">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241759"/>
      <w:docPartObj>
        <w:docPartGallery w:val="Page Numbers (Bottom of Page)"/>
        <w:docPartUnique/>
      </w:docPartObj>
    </w:sdtPr>
    <w:sdtEndPr/>
    <w:sdtContent>
      <w:sdt>
        <w:sdtPr>
          <w:id w:val="-1769616900"/>
          <w:docPartObj>
            <w:docPartGallery w:val="Page Numbers (Top of Page)"/>
            <w:docPartUnique/>
          </w:docPartObj>
        </w:sdtPr>
        <w:sdtEndPr/>
        <w:sdtContent>
          <w:p w:rsidR="0093620D" w:rsidRDefault="009362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08B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08BA">
              <w:rPr>
                <w:b/>
                <w:bCs/>
                <w:noProof/>
              </w:rPr>
              <w:t>6</w:t>
            </w:r>
            <w:r>
              <w:rPr>
                <w:b/>
                <w:bCs/>
                <w:sz w:val="24"/>
                <w:szCs w:val="24"/>
              </w:rPr>
              <w:fldChar w:fldCharType="end"/>
            </w:r>
          </w:p>
        </w:sdtContent>
      </w:sdt>
    </w:sdtContent>
  </w:sdt>
  <w:p w:rsidR="0093620D" w:rsidRDefault="0093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D0" w:rsidRDefault="00E94ED0" w:rsidP="00232716">
      <w:r>
        <w:separator/>
      </w:r>
    </w:p>
  </w:footnote>
  <w:footnote w:type="continuationSeparator" w:id="0">
    <w:p w:rsidR="00E94ED0" w:rsidRDefault="00E94ED0" w:rsidP="00232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C3E"/>
    <w:multiLevelType w:val="hybridMultilevel"/>
    <w:tmpl w:val="B922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562E"/>
    <w:multiLevelType w:val="multilevel"/>
    <w:tmpl w:val="8F44924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b w: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D167A6"/>
    <w:multiLevelType w:val="hybridMultilevel"/>
    <w:tmpl w:val="856890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FF08BD"/>
    <w:multiLevelType w:val="hybridMultilevel"/>
    <w:tmpl w:val="E81E517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28B6"/>
    <w:multiLevelType w:val="hybridMultilevel"/>
    <w:tmpl w:val="51F2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DE0"/>
    <w:multiLevelType w:val="hybridMultilevel"/>
    <w:tmpl w:val="AF60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30D9C"/>
    <w:multiLevelType w:val="hybridMultilevel"/>
    <w:tmpl w:val="8B66702C"/>
    <w:lvl w:ilvl="0" w:tplc="868E966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B84E03"/>
    <w:multiLevelType w:val="hybridMultilevel"/>
    <w:tmpl w:val="0E36AD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AC57081"/>
    <w:multiLevelType w:val="hybridMultilevel"/>
    <w:tmpl w:val="981AC288"/>
    <w:lvl w:ilvl="0" w:tplc="7A8E305E">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319A5"/>
    <w:multiLevelType w:val="hybridMultilevel"/>
    <w:tmpl w:val="EDCC6872"/>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15:restartNumberingAfterBreak="0">
    <w:nsid w:val="330B5757"/>
    <w:multiLevelType w:val="hybridMultilevel"/>
    <w:tmpl w:val="94749868"/>
    <w:lvl w:ilvl="0" w:tplc="64404BEE">
      <w:start w:val="1"/>
      <w:numFmt w:val="decimal"/>
      <w:lvlText w:val="%1."/>
      <w:lvlJc w:val="left"/>
      <w:pPr>
        <w:ind w:left="284" w:hanging="227"/>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4D7AC4"/>
    <w:multiLevelType w:val="hybridMultilevel"/>
    <w:tmpl w:val="16BA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8070E"/>
    <w:multiLevelType w:val="hybridMultilevel"/>
    <w:tmpl w:val="AECE9B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3E46C1"/>
    <w:multiLevelType w:val="hybridMultilevel"/>
    <w:tmpl w:val="263AEECC"/>
    <w:lvl w:ilvl="0" w:tplc="AFB664FE">
      <w:start w:val="1"/>
      <w:numFmt w:val="lowerLetter"/>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C07ED2"/>
    <w:multiLevelType w:val="multilevel"/>
    <w:tmpl w:val="7ABAD07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ascii="Arial" w:hAnsi="Arial" w:cs="Arial" w:hint="default"/>
        <w:b w:val="0"/>
        <w:sz w:val="22"/>
        <w:szCs w:val="22"/>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E2F1A65"/>
    <w:multiLevelType w:val="hybridMultilevel"/>
    <w:tmpl w:val="81CE3362"/>
    <w:lvl w:ilvl="0" w:tplc="826862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B1C14"/>
    <w:multiLevelType w:val="hybridMultilevel"/>
    <w:tmpl w:val="D848F822"/>
    <w:lvl w:ilvl="0" w:tplc="08090001">
      <w:start w:val="1"/>
      <w:numFmt w:val="bullet"/>
      <w:lvlText w:val=""/>
      <w:lvlJc w:val="left"/>
      <w:pPr>
        <w:ind w:left="340" w:hanging="340"/>
      </w:pPr>
      <w:rPr>
        <w:rFonts w:ascii="Symbol" w:hAnsi="Symbol" w:hint="default"/>
      </w:rPr>
    </w:lvl>
    <w:lvl w:ilvl="1" w:tplc="0809000F">
      <w:start w:val="1"/>
      <w:numFmt w:val="decimal"/>
      <w:lvlText w:val="%2."/>
      <w:lvlJc w:val="left"/>
      <w:pPr>
        <w:ind w:left="851" w:hanging="28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E714E1"/>
    <w:multiLevelType w:val="hybridMultilevel"/>
    <w:tmpl w:val="49106F3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8" w15:restartNumberingAfterBreak="0">
    <w:nsid w:val="584630C8"/>
    <w:multiLevelType w:val="hybridMultilevel"/>
    <w:tmpl w:val="3BD0E7F8"/>
    <w:lvl w:ilvl="0" w:tplc="EEEC66CA">
      <w:start w:val="1"/>
      <w:numFmt w:val="bullet"/>
      <w:lvlText w:val=""/>
      <w:lvlJc w:val="left"/>
      <w:pPr>
        <w:ind w:left="720" w:hanging="360"/>
      </w:pPr>
      <w:rPr>
        <w:rFonts w:ascii="Symbol" w:hAnsi="Symbol" w:hint="default"/>
        <w:color w:val="00B3B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835A7"/>
    <w:multiLevelType w:val="hybridMultilevel"/>
    <w:tmpl w:val="D2F801D2"/>
    <w:lvl w:ilvl="0" w:tplc="1DBC3342">
      <w:start w:val="1"/>
      <w:numFmt w:val="decimal"/>
      <w:pStyle w:val="Paragraph3cat"/>
      <w:lvlText w:val="3.%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F202566"/>
    <w:multiLevelType w:val="hybridMultilevel"/>
    <w:tmpl w:val="D5409054"/>
    <w:lvl w:ilvl="0" w:tplc="868E966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364151"/>
    <w:multiLevelType w:val="hybridMultilevel"/>
    <w:tmpl w:val="081C7BE2"/>
    <w:lvl w:ilvl="0" w:tplc="C4767A72">
      <w:start w:val="1"/>
      <w:numFmt w:val="decimal"/>
      <w:pStyle w:val="Paragrah2cat"/>
      <w:lvlText w:val="2.%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A02602"/>
    <w:multiLevelType w:val="hybridMultilevel"/>
    <w:tmpl w:val="CC824C04"/>
    <w:lvl w:ilvl="0" w:tplc="7ABACC42">
      <w:start w:val="1"/>
      <w:numFmt w:val="decimal"/>
      <w:pStyle w:val="NumberedListcat"/>
      <w:lvlText w:val="1.%1"/>
      <w:lvlJc w:val="left"/>
      <w:pPr>
        <w:tabs>
          <w:tab w:val="num" w:pos="720"/>
        </w:tabs>
        <w:ind w:left="720" w:hanging="72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E700E4E"/>
    <w:multiLevelType w:val="hybridMultilevel"/>
    <w:tmpl w:val="DBD8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C4A79"/>
    <w:multiLevelType w:val="hybridMultilevel"/>
    <w:tmpl w:val="856890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5E46FD"/>
    <w:multiLevelType w:val="multilevel"/>
    <w:tmpl w:val="C6900886"/>
    <w:lvl w:ilvl="0">
      <w:start w:val="1"/>
      <w:numFmt w:val="decimal"/>
      <w:lvlText w:val="%1."/>
      <w:lvlJc w:val="left"/>
      <w:pPr>
        <w:tabs>
          <w:tab w:val="num" w:pos="794"/>
        </w:tabs>
        <w:ind w:left="794" w:hanging="794"/>
      </w:pPr>
      <w:rPr>
        <w:rFonts w:hint="default"/>
      </w:rPr>
    </w:lvl>
    <w:lvl w:ilvl="1">
      <w:start w:val="1"/>
      <w:numFmt w:val="bullet"/>
      <w:lvlText w:val=""/>
      <w:lvlJc w:val="left"/>
      <w:pPr>
        <w:tabs>
          <w:tab w:val="num" w:pos="794"/>
        </w:tabs>
        <w:ind w:left="1021" w:hanging="227"/>
      </w:pPr>
      <w:rPr>
        <w:rFonts w:ascii="Symbol" w:hAnsi="Symbol" w:hint="default"/>
        <w:b w: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3B2393F"/>
    <w:multiLevelType w:val="hybridMultilevel"/>
    <w:tmpl w:val="BFEA19B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7" w15:restartNumberingAfterBreak="0">
    <w:nsid w:val="763D4C0E"/>
    <w:multiLevelType w:val="hybridMultilevel"/>
    <w:tmpl w:val="627EF732"/>
    <w:lvl w:ilvl="0" w:tplc="733C5FAA">
      <w:start w:val="1"/>
      <w:numFmt w:val="bullet"/>
      <w:lvlText w:val=""/>
      <w:lvlJc w:val="left"/>
      <w:pPr>
        <w:ind w:left="1021" w:hanging="227"/>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8" w15:restartNumberingAfterBreak="0">
    <w:nsid w:val="76CF45EA"/>
    <w:multiLevelType w:val="hybridMultilevel"/>
    <w:tmpl w:val="FBEAD520"/>
    <w:lvl w:ilvl="0" w:tplc="BFE65A7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23"/>
  </w:num>
  <w:num w:numId="5">
    <w:abstractNumId w:val="18"/>
  </w:num>
  <w:num w:numId="6">
    <w:abstractNumId w:val="4"/>
  </w:num>
  <w:num w:numId="7">
    <w:abstractNumId w:val="12"/>
  </w:num>
  <w:num w:numId="8">
    <w:abstractNumId w:val="8"/>
  </w:num>
  <w:num w:numId="9">
    <w:abstractNumId w:val="28"/>
  </w:num>
  <w:num w:numId="10">
    <w:abstractNumId w:val="20"/>
  </w:num>
  <w:num w:numId="11">
    <w:abstractNumId w:val="6"/>
  </w:num>
  <w:num w:numId="12">
    <w:abstractNumId w:val="15"/>
  </w:num>
  <w:num w:numId="13">
    <w:abstractNumId w:val="22"/>
  </w:num>
  <w:num w:numId="14">
    <w:abstractNumId w:val="21"/>
  </w:num>
  <w:num w:numId="15">
    <w:abstractNumId w:val="14"/>
  </w:num>
  <w:num w:numId="16">
    <w:abstractNumId w:val="19"/>
  </w:num>
  <w:num w:numId="17">
    <w:abstractNumId w:val="24"/>
  </w:num>
  <w:num w:numId="18">
    <w:abstractNumId w:val="0"/>
  </w:num>
  <w:num w:numId="19">
    <w:abstractNumId w:val="10"/>
  </w:num>
  <w:num w:numId="20">
    <w:abstractNumId w:val="2"/>
  </w:num>
  <w:num w:numId="21">
    <w:abstractNumId w:val="25"/>
  </w:num>
  <w:num w:numId="22">
    <w:abstractNumId w:val="13"/>
  </w:num>
  <w:num w:numId="23">
    <w:abstractNumId w:val="27"/>
  </w:num>
  <w:num w:numId="24">
    <w:abstractNumId w:val="17"/>
  </w:num>
  <w:num w:numId="25">
    <w:abstractNumId w:val="16"/>
  </w:num>
  <w:num w:numId="26">
    <w:abstractNumId w:val="11"/>
  </w:num>
  <w:num w:numId="27">
    <w:abstractNumId w:val="9"/>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33"/>
    <w:rsid w:val="0000013B"/>
    <w:rsid w:val="00014D84"/>
    <w:rsid w:val="0002294E"/>
    <w:rsid w:val="000229BC"/>
    <w:rsid w:val="00025A19"/>
    <w:rsid w:val="00032F73"/>
    <w:rsid w:val="000665E8"/>
    <w:rsid w:val="000736A6"/>
    <w:rsid w:val="0008535D"/>
    <w:rsid w:val="00093777"/>
    <w:rsid w:val="000B0B81"/>
    <w:rsid w:val="000F2A94"/>
    <w:rsid w:val="000F531D"/>
    <w:rsid w:val="00107D34"/>
    <w:rsid w:val="001214F8"/>
    <w:rsid w:val="00160D82"/>
    <w:rsid w:val="001633EC"/>
    <w:rsid w:val="00164CF2"/>
    <w:rsid w:val="00172924"/>
    <w:rsid w:val="0017696D"/>
    <w:rsid w:val="00186E23"/>
    <w:rsid w:val="001B5F31"/>
    <w:rsid w:val="001B6B2F"/>
    <w:rsid w:val="001E672D"/>
    <w:rsid w:val="001F20EC"/>
    <w:rsid w:val="001F2775"/>
    <w:rsid w:val="002022FF"/>
    <w:rsid w:val="00210C72"/>
    <w:rsid w:val="00232716"/>
    <w:rsid w:val="002331BC"/>
    <w:rsid w:val="00250E44"/>
    <w:rsid w:val="0026057C"/>
    <w:rsid w:val="00260E7B"/>
    <w:rsid w:val="00271ADE"/>
    <w:rsid w:val="002737B6"/>
    <w:rsid w:val="002B3957"/>
    <w:rsid w:val="002E3C9F"/>
    <w:rsid w:val="003208BA"/>
    <w:rsid w:val="00322D08"/>
    <w:rsid w:val="0033625E"/>
    <w:rsid w:val="00343C11"/>
    <w:rsid w:val="00350F6A"/>
    <w:rsid w:val="003805A0"/>
    <w:rsid w:val="003A259A"/>
    <w:rsid w:val="003C2353"/>
    <w:rsid w:val="0041137E"/>
    <w:rsid w:val="00430292"/>
    <w:rsid w:val="004351F2"/>
    <w:rsid w:val="00444A78"/>
    <w:rsid w:val="0044706A"/>
    <w:rsid w:val="004523A0"/>
    <w:rsid w:val="004F6884"/>
    <w:rsid w:val="00514DCB"/>
    <w:rsid w:val="0052227F"/>
    <w:rsid w:val="00562398"/>
    <w:rsid w:val="00575090"/>
    <w:rsid w:val="00580D1C"/>
    <w:rsid w:val="005822CC"/>
    <w:rsid w:val="005A1811"/>
    <w:rsid w:val="005A7CCB"/>
    <w:rsid w:val="005B0906"/>
    <w:rsid w:val="005E0FAA"/>
    <w:rsid w:val="00612A0E"/>
    <w:rsid w:val="006A3B0C"/>
    <w:rsid w:val="006B2183"/>
    <w:rsid w:val="006D27E4"/>
    <w:rsid w:val="007019B0"/>
    <w:rsid w:val="00705723"/>
    <w:rsid w:val="00705F07"/>
    <w:rsid w:val="007311BB"/>
    <w:rsid w:val="00736FC0"/>
    <w:rsid w:val="00754086"/>
    <w:rsid w:val="00777CFA"/>
    <w:rsid w:val="00791BB3"/>
    <w:rsid w:val="00793EAE"/>
    <w:rsid w:val="00797CE4"/>
    <w:rsid w:val="007A5E8B"/>
    <w:rsid w:val="007D78F7"/>
    <w:rsid w:val="007E678D"/>
    <w:rsid w:val="007F12F9"/>
    <w:rsid w:val="00813A2D"/>
    <w:rsid w:val="00831BB6"/>
    <w:rsid w:val="00832ACD"/>
    <w:rsid w:val="00855007"/>
    <w:rsid w:val="008657EC"/>
    <w:rsid w:val="00876548"/>
    <w:rsid w:val="00884D70"/>
    <w:rsid w:val="008A0EE1"/>
    <w:rsid w:val="009102C0"/>
    <w:rsid w:val="009341A9"/>
    <w:rsid w:val="0093620D"/>
    <w:rsid w:val="00942F8B"/>
    <w:rsid w:val="0098548E"/>
    <w:rsid w:val="009D00E7"/>
    <w:rsid w:val="009D5C7A"/>
    <w:rsid w:val="009E0098"/>
    <w:rsid w:val="00A145E4"/>
    <w:rsid w:val="00A41351"/>
    <w:rsid w:val="00A6071E"/>
    <w:rsid w:val="00A62FD1"/>
    <w:rsid w:val="00A661DC"/>
    <w:rsid w:val="00AB5EA6"/>
    <w:rsid w:val="00AC3B8C"/>
    <w:rsid w:val="00AF2733"/>
    <w:rsid w:val="00B83CC6"/>
    <w:rsid w:val="00B866A3"/>
    <w:rsid w:val="00BB08C0"/>
    <w:rsid w:val="00BF426A"/>
    <w:rsid w:val="00C1758E"/>
    <w:rsid w:val="00C409C4"/>
    <w:rsid w:val="00C52915"/>
    <w:rsid w:val="00C5497C"/>
    <w:rsid w:val="00C633A0"/>
    <w:rsid w:val="00C67E00"/>
    <w:rsid w:val="00C9235A"/>
    <w:rsid w:val="00C95516"/>
    <w:rsid w:val="00CA04AF"/>
    <w:rsid w:val="00CB3C88"/>
    <w:rsid w:val="00CD3476"/>
    <w:rsid w:val="00CD59BE"/>
    <w:rsid w:val="00CF2558"/>
    <w:rsid w:val="00D112EB"/>
    <w:rsid w:val="00D45F88"/>
    <w:rsid w:val="00D47AB4"/>
    <w:rsid w:val="00D56D98"/>
    <w:rsid w:val="00D7458F"/>
    <w:rsid w:val="00D85805"/>
    <w:rsid w:val="00D9126F"/>
    <w:rsid w:val="00DA1D4C"/>
    <w:rsid w:val="00DC54A6"/>
    <w:rsid w:val="00DF2FDD"/>
    <w:rsid w:val="00DF6EE7"/>
    <w:rsid w:val="00E04A89"/>
    <w:rsid w:val="00E47F36"/>
    <w:rsid w:val="00E9289A"/>
    <w:rsid w:val="00E94ED0"/>
    <w:rsid w:val="00EA1F0C"/>
    <w:rsid w:val="00EA58E0"/>
    <w:rsid w:val="00EB2331"/>
    <w:rsid w:val="00EB64AB"/>
    <w:rsid w:val="00EB657C"/>
    <w:rsid w:val="00ED0BE5"/>
    <w:rsid w:val="00ED452A"/>
    <w:rsid w:val="00ED5231"/>
    <w:rsid w:val="00EE40F7"/>
    <w:rsid w:val="00F375C5"/>
    <w:rsid w:val="00F47435"/>
    <w:rsid w:val="00F57E4E"/>
    <w:rsid w:val="00F62D5D"/>
    <w:rsid w:val="00FA117D"/>
    <w:rsid w:val="00FB00AA"/>
    <w:rsid w:val="00FB2FBE"/>
    <w:rsid w:val="00FC2D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2A4C255-22D3-4566-BDA7-B00334C3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EC"/>
    <w:rPr>
      <w:rFonts w:eastAsia="Calibri" w:cs="Arial"/>
      <w:sz w:val="22"/>
      <w:szCs w:val="22"/>
    </w:rPr>
  </w:style>
  <w:style w:type="paragraph" w:styleId="Heading1">
    <w:name w:val="heading 1"/>
    <w:basedOn w:val="Normal"/>
    <w:next w:val="Normal"/>
    <w:link w:val="Heading1Char"/>
    <w:uiPriority w:val="9"/>
    <w:qFormat/>
    <w:rsid w:val="00FA117D"/>
    <w:pPr>
      <w:keepNext/>
      <w:keepLines/>
      <w:spacing w:before="240"/>
      <w:jc w:val="center"/>
      <w:outlineLvl w:val="0"/>
    </w:pPr>
    <w:rPr>
      <w:rFonts w:asciiTheme="majorHAnsi" w:eastAsiaTheme="majorEastAsia" w:hAnsiTheme="majorHAnsi" w:cstheme="majorBidi"/>
      <w:color w:val="00B3BC" w:themeColor="accent1"/>
      <w:sz w:val="32"/>
      <w:szCs w:val="32"/>
    </w:rPr>
  </w:style>
  <w:style w:type="paragraph" w:styleId="Heading2">
    <w:name w:val="heading 2"/>
    <w:basedOn w:val="Normal"/>
    <w:next w:val="Normal"/>
    <w:link w:val="Heading2Char"/>
    <w:uiPriority w:val="9"/>
    <w:unhideWhenUsed/>
    <w:qFormat/>
    <w:rsid w:val="004523A0"/>
    <w:pPr>
      <w:keepNext/>
      <w:keepLines/>
      <w:spacing w:before="40"/>
      <w:outlineLvl w:val="1"/>
    </w:pPr>
    <w:rPr>
      <w:rFonts w:asciiTheme="majorHAnsi" w:eastAsiaTheme="majorEastAsia" w:hAnsiTheme="majorHAnsi" w:cstheme="majorBidi"/>
      <w:color w:val="00B3BC" w:themeColor="accent1"/>
      <w:sz w:val="26"/>
      <w:szCs w:val="26"/>
    </w:rPr>
  </w:style>
  <w:style w:type="paragraph" w:styleId="Heading3">
    <w:name w:val="heading 3"/>
    <w:basedOn w:val="Normal"/>
    <w:next w:val="Normal"/>
    <w:link w:val="Heading3Char"/>
    <w:uiPriority w:val="9"/>
    <w:unhideWhenUsed/>
    <w:qFormat/>
    <w:rsid w:val="00797CE4"/>
    <w:pPr>
      <w:keepNext/>
      <w:keepLines/>
      <w:spacing w:before="40"/>
      <w:outlineLvl w:val="2"/>
    </w:pPr>
    <w:rPr>
      <w:rFonts w:asciiTheme="majorHAnsi" w:eastAsiaTheme="majorEastAsia" w:hAnsiTheme="majorHAnsi" w:cstheme="majorBidi"/>
      <w:color w:val="00B3BC" w:themeColor="accent1"/>
      <w:sz w:val="24"/>
      <w:szCs w:val="24"/>
    </w:rPr>
  </w:style>
  <w:style w:type="paragraph" w:styleId="Heading4">
    <w:name w:val="heading 4"/>
    <w:basedOn w:val="Normal"/>
    <w:next w:val="Normal"/>
    <w:link w:val="Heading4Char"/>
    <w:uiPriority w:val="9"/>
    <w:semiHidden/>
    <w:unhideWhenUsed/>
    <w:qFormat/>
    <w:rsid w:val="00C67E00"/>
    <w:pPr>
      <w:keepNext/>
      <w:keepLines/>
      <w:spacing w:before="200"/>
      <w:outlineLvl w:val="3"/>
    </w:pPr>
    <w:rPr>
      <w:rFonts w:asciiTheme="majorHAnsi" w:eastAsiaTheme="majorEastAsia" w:hAnsiTheme="majorHAnsi" w:cstheme="majorBidi"/>
      <w:b/>
      <w:bCs/>
      <w:i/>
      <w:iCs/>
      <w:color w:val="00B3B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17D"/>
    <w:rPr>
      <w:rFonts w:asciiTheme="majorHAnsi" w:eastAsiaTheme="majorEastAsia" w:hAnsiTheme="majorHAnsi" w:cstheme="majorBidi"/>
      <w:color w:val="00B3BC" w:themeColor="accent1"/>
      <w:sz w:val="32"/>
      <w:szCs w:val="32"/>
    </w:rPr>
  </w:style>
  <w:style w:type="character" w:customStyle="1" w:styleId="Heading2Char">
    <w:name w:val="Heading 2 Char"/>
    <w:basedOn w:val="DefaultParagraphFont"/>
    <w:link w:val="Heading2"/>
    <w:uiPriority w:val="9"/>
    <w:rsid w:val="004523A0"/>
    <w:rPr>
      <w:rFonts w:asciiTheme="majorHAnsi" w:eastAsiaTheme="majorEastAsia" w:hAnsiTheme="majorHAnsi" w:cstheme="majorBidi"/>
      <w:color w:val="00B3BC" w:themeColor="accent1"/>
      <w:sz w:val="26"/>
      <w:szCs w:val="26"/>
    </w:rPr>
  </w:style>
  <w:style w:type="character" w:styleId="IntenseEmphasis">
    <w:name w:val="Intense Emphasis"/>
    <w:basedOn w:val="DefaultParagraphFont"/>
    <w:uiPriority w:val="21"/>
    <w:qFormat/>
    <w:rsid w:val="004523A0"/>
    <w:rPr>
      <w:i/>
      <w:iCs/>
      <w:color w:val="00B3BC" w:themeColor="accent1"/>
    </w:rPr>
  </w:style>
  <w:style w:type="character" w:styleId="Strong">
    <w:name w:val="Strong"/>
    <w:basedOn w:val="DefaultParagraphFont"/>
    <w:uiPriority w:val="22"/>
    <w:qFormat/>
    <w:rsid w:val="00FA117D"/>
    <w:rPr>
      <w:b/>
      <w:bCs/>
    </w:rPr>
  </w:style>
  <w:style w:type="table" w:styleId="TableGrid">
    <w:name w:val="Table Grid"/>
    <w:basedOn w:val="TableNormal"/>
    <w:rsid w:val="00FA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FA11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FA11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C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55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55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55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55B" w:themeFill="accent6"/>
      </w:tcPr>
    </w:tblStylePr>
    <w:tblStylePr w:type="band1Vert">
      <w:tblPr/>
      <w:tcPr>
        <w:shd w:val="clear" w:color="auto" w:fill="BBB9BE" w:themeFill="accent6" w:themeFillTint="66"/>
      </w:tcPr>
    </w:tblStylePr>
    <w:tblStylePr w:type="band1Horz">
      <w:tblPr/>
      <w:tcPr>
        <w:shd w:val="clear" w:color="auto" w:fill="BBB9BE" w:themeFill="accent6" w:themeFillTint="66"/>
      </w:tcPr>
    </w:tblStylePr>
  </w:style>
  <w:style w:type="table" w:customStyle="1" w:styleId="GridTable5Dark-Accent11">
    <w:name w:val="Grid Table 5 Dark - Accent 11"/>
    <w:basedOn w:val="TableNormal"/>
    <w:uiPriority w:val="50"/>
    <w:rsid w:val="00FA11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BC" w:themeFill="accent1"/>
      </w:tcPr>
    </w:tblStylePr>
    <w:tblStylePr w:type="band1Vert">
      <w:tblPr/>
      <w:tcPr>
        <w:shd w:val="clear" w:color="auto" w:fill="7EF8FF" w:themeFill="accent1" w:themeFillTint="66"/>
      </w:tcPr>
    </w:tblStylePr>
    <w:tblStylePr w:type="band1Horz">
      <w:tblPr/>
      <w:tcPr>
        <w:shd w:val="clear" w:color="auto" w:fill="7EF8FF" w:themeFill="accent1" w:themeFillTint="66"/>
      </w:tcPr>
    </w:tblStylePr>
  </w:style>
  <w:style w:type="table" w:customStyle="1" w:styleId="GridTable6Colorful1">
    <w:name w:val="Grid Table 6 Colorful1"/>
    <w:basedOn w:val="TableNormal"/>
    <w:uiPriority w:val="51"/>
    <w:rsid w:val="00FA11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1">
    <w:name w:val="Grid Table 4 - Accent 21"/>
    <w:basedOn w:val="TableNormal"/>
    <w:uiPriority w:val="49"/>
    <w:rsid w:val="00FA117D"/>
    <w:tblPr>
      <w:tblStyleRowBandSize w:val="1"/>
      <w:tblStyleColBandSize w:val="1"/>
      <w:tblBorders>
        <w:top w:val="single" w:sz="4" w:space="0" w:color="C5E76B" w:themeColor="accent2" w:themeTint="99"/>
        <w:left w:val="single" w:sz="4" w:space="0" w:color="C5E76B" w:themeColor="accent2" w:themeTint="99"/>
        <w:bottom w:val="single" w:sz="4" w:space="0" w:color="C5E76B" w:themeColor="accent2" w:themeTint="99"/>
        <w:right w:val="single" w:sz="4" w:space="0" w:color="C5E76B" w:themeColor="accent2" w:themeTint="99"/>
        <w:insideH w:val="single" w:sz="4" w:space="0" w:color="C5E76B" w:themeColor="accent2" w:themeTint="99"/>
        <w:insideV w:val="single" w:sz="4" w:space="0" w:color="C5E76B" w:themeColor="accent2" w:themeTint="99"/>
      </w:tblBorders>
    </w:tblPr>
    <w:tblStylePr w:type="firstRow">
      <w:rPr>
        <w:b/>
        <w:bCs/>
        <w:color w:val="FFFFFF" w:themeColor="background1"/>
      </w:rPr>
      <w:tblPr/>
      <w:tcPr>
        <w:tcBorders>
          <w:top w:val="single" w:sz="4" w:space="0" w:color="95C11F" w:themeColor="accent2"/>
          <w:left w:val="single" w:sz="4" w:space="0" w:color="95C11F" w:themeColor="accent2"/>
          <w:bottom w:val="single" w:sz="4" w:space="0" w:color="95C11F" w:themeColor="accent2"/>
          <w:right w:val="single" w:sz="4" w:space="0" w:color="95C11F" w:themeColor="accent2"/>
          <w:insideH w:val="nil"/>
          <w:insideV w:val="nil"/>
        </w:tcBorders>
        <w:shd w:val="clear" w:color="auto" w:fill="95C11F" w:themeFill="accent2"/>
      </w:tcPr>
    </w:tblStylePr>
    <w:tblStylePr w:type="lastRow">
      <w:rPr>
        <w:b/>
        <w:bCs/>
      </w:rPr>
      <w:tblPr/>
      <w:tcPr>
        <w:tcBorders>
          <w:top w:val="double" w:sz="4" w:space="0" w:color="95C11F" w:themeColor="accent2"/>
        </w:tcBorders>
      </w:tcPr>
    </w:tblStylePr>
    <w:tblStylePr w:type="firstCol">
      <w:rPr>
        <w:b/>
        <w:bCs/>
      </w:rPr>
    </w:tblStylePr>
    <w:tblStylePr w:type="lastCol">
      <w:rPr>
        <w:b/>
        <w:bCs/>
      </w:rPr>
    </w:tblStylePr>
    <w:tblStylePr w:type="band1Vert">
      <w:tblPr/>
      <w:tcPr>
        <w:shd w:val="clear" w:color="auto" w:fill="EBF7CD" w:themeFill="accent2" w:themeFillTint="33"/>
      </w:tcPr>
    </w:tblStylePr>
    <w:tblStylePr w:type="band1Horz">
      <w:tblPr/>
      <w:tcPr>
        <w:shd w:val="clear" w:color="auto" w:fill="EBF7CD" w:themeFill="accent2" w:themeFillTint="33"/>
      </w:tcPr>
    </w:tblStylePr>
  </w:style>
  <w:style w:type="table" w:customStyle="1" w:styleId="GridTable3-Accent61">
    <w:name w:val="Grid Table 3 - Accent 61"/>
    <w:basedOn w:val="TableNormal"/>
    <w:uiPriority w:val="48"/>
    <w:rsid w:val="00FA117D"/>
    <w:tblPr>
      <w:tblStyleRowBandSize w:val="1"/>
      <w:tblStyleColBandSize w:val="1"/>
      <w:tblBorders>
        <w:top w:val="single" w:sz="4" w:space="0" w:color="99979E" w:themeColor="accent6" w:themeTint="99"/>
        <w:left w:val="single" w:sz="4" w:space="0" w:color="99979E" w:themeColor="accent6" w:themeTint="99"/>
        <w:bottom w:val="single" w:sz="4" w:space="0" w:color="99979E" w:themeColor="accent6" w:themeTint="99"/>
        <w:right w:val="single" w:sz="4" w:space="0" w:color="99979E" w:themeColor="accent6" w:themeTint="99"/>
        <w:insideH w:val="single" w:sz="4" w:space="0" w:color="99979E" w:themeColor="accent6" w:themeTint="99"/>
        <w:insideV w:val="single" w:sz="4" w:space="0" w:color="9997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CDE" w:themeFill="accent6" w:themeFillTint="33"/>
      </w:tcPr>
    </w:tblStylePr>
    <w:tblStylePr w:type="band1Horz">
      <w:tblPr/>
      <w:tcPr>
        <w:shd w:val="clear" w:color="auto" w:fill="DDDCDE" w:themeFill="accent6" w:themeFillTint="33"/>
      </w:tcPr>
    </w:tblStylePr>
    <w:tblStylePr w:type="neCell">
      <w:tblPr/>
      <w:tcPr>
        <w:tcBorders>
          <w:bottom w:val="single" w:sz="4" w:space="0" w:color="99979E" w:themeColor="accent6" w:themeTint="99"/>
        </w:tcBorders>
      </w:tcPr>
    </w:tblStylePr>
    <w:tblStylePr w:type="nwCell">
      <w:tblPr/>
      <w:tcPr>
        <w:tcBorders>
          <w:bottom w:val="single" w:sz="4" w:space="0" w:color="99979E" w:themeColor="accent6" w:themeTint="99"/>
        </w:tcBorders>
      </w:tcPr>
    </w:tblStylePr>
    <w:tblStylePr w:type="seCell">
      <w:tblPr/>
      <w:tcPr>
        <w:tcBorders>
          <w:top w:val="single" w:sz="4" w:space="0" w:color="99979E" w:themeColor="accent6" w:themeTint="99"/>
        </w:tcBorders>
      </w:tcPr>
    </w:tblStylePr>
    <w:tblStylePr w:type="swCell">
      <w:tblPr/>
      <w:tcPr>
        <w:tcBorders>
          <w:top w:val="single" w:sz="4" w:space="0" w:color="99979E" w:themeColor="accent6" w:themeTint="99"/>
        </w:tcBorders>
      </w:tcPr>
    </w:tblStylePr>
  </w:style>
  <w:style w:type="table" w:customStyle="1" w:styleId="GridTable3-Accent51">
    <w:name w:val="Grid Table 3 - Accent 51"/>
    <w:basedOn w:val="TableNormal"/>
    <w:uiPriority w:val="48"/>
    <w:rsid w:val="00FA117D"/>
    <w:tblPr>
      <w:tblStyleRowBandSize w:val="1"/>
      <w:tblStyleColBandSize w:val="1"/>
      <w:tblBorders>
        <w:top w:val="single" w:sz="4" w:space="0" w:color="F183AA" w:themeColor="accent5" w:themeTint="99"/>
        <w:left w:val="single" w:sz="4" w:space="0" w:color="F183AA" w:themeColor="accent5" w:themeTint="99"/>
        <w:bottom w:val="single" w:sz="4" w:space="0" w:color="F183AA" w:themeColor="accent5" w:themeTint="99"/>
        <w:right w:val="single" w:sz="4" w:space="0" w:color="F183AA" w:themeColor="accent5" w:themeTint="99"/>
        <w:insideH w:val="single" w:sz="4" w:space="0" w:color="F183AA" w:themeColor="accent5" w:themeTint="99"/>
        <w:insideV w:val="single" w:sz="4" w:space="0" w:color="F183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2" w:themeFill="accent5" w:themeFillTint="33"/>
      </w:tcPr>
    </w:tblStylePr>
    <w:tblStylePr w:type="band1Horz">
      <w:tblPr/>
      <w:tcPr>
        <w:shd w:val="clear" w:color="auto" w:fill="FAD5E2" w:themeFill="accent5" w:themeFillTint="33"/>
      </w:tcPr>
    </w:tblStylePr>
    <w:tblStylePr w:type="neCell">
      <w:tblPr/>
      <w:tcPr>
        <w:tcBorders>
          <w:bottom w:val="single" w:sz="4" w:space="0" w:color="F183AA" w:themeColor="accent5" w:themeTint="99"/>
        </w:tcBorders>
      </w:tcPr>
    </w:tblStylePr>
    <w:tblStylePr w:type="nwCell">
      <w:tblPr/>
      <w:tcPr>
        <w:tcBorders>
          <w:bottom w:val="single" w:sz="4" w:space="0" w:color="F183AA" w:themeColor="accent5" w:themeTint="99"/>
        </w:tcBorders>
      </w:tcPr>
    </w:tblStylePr>
    <w:tblStylePr w:type="seCell">
      <w:tblPr/>
      <w:tcPr>
        <w:tcBorders>
          <w:top w:val="single" w:sz="4" w:space="0" w:color="F183AA" w:themeColor="accent5" w:themeTint="99"/>
        </w:tcBorders>
      </w:tcPr>
    </w:tblStylePr>
    <w:tblStylePr w:type="swCell">
      <w:tblPr/>
      <w:tcPr>
        <w:tcBorders>
          <w:top w:val="single" w:sz="4" w:space="0" w:color="F183AA" w:themeColor="accent5" w:themeTint="99"/>
        </w:tcBorders>
      </w:tcPr>
    </w:tblStylePr>
  </w:style>
  <w:style w:type="table" w:customStyle="1" w:styleId="GridTable5Dark1">
    <w:name w:val="Grid Table 5 Dark1"/>
    <w:basedOn w:val="TableNormal"/>
    <w:uiPriority w:val="50"/>
    <w:rsid w:val="00FA11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1Light1">
    <w:name w:val="List Table 1 Light1"/>
    <w:basedOn w:val="TableNormal"/>
    <w:uiPriority w:val="46"/>
    <w:rsid w:val="00FA117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61">
    <w:name w:val="List Table 2 - Accent 61"/>
    <w:basedOn w:val="TableNormal"/>
    <w:uiPriority w:val="47"/>
    <w:rsid w:val="00FA117D"/>
    <w:tblPr>
      <w:tblStyleRowBandSize w:val="1"/>
      <w:tblStyleColBandSize w:val="1"/>
      <w:tblBorders>
        <w:top w:val="single" w:sz="4" w:space="0" w:color="99979E" w:themeColor="accent6" w:themeTint="99"/>
        <w:bottom w:val="single" w:sz="4" w:space="0" w:color="99979E" w:themeColor="accent6" w:themeTint="99"/>
        <w:insideH w:val="single" w:sz="4" w:space="0" w:color="9997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CDE" w:themeFill="accent6" w:themeFillTint="33"/>
      </w:tcPr>
    </w:tblStylePr>
    <w:tblStylePr w:type="band1Horz">
      <w:tblPr/>
      <w:tcPr>
        <w:shd w:val="clear" w:color="auto" w:fill="DDDCDE" w:themeFill="accent6" w:themeFillTint="33"/>
      </w:tcPr>
    </w:tblStylePr>
  </w:style>
  <w:style w:type="table" w:customStyle="1" w:styleId="ListTable4-Accent61">
    <w:name w:val="List Table 4 - Accent 61"/>
    <w:basedOn w:val="TableNormal"/>
    <w:uiPriority w:val="49"/>
    <w:rsid w:val="00FA117D"/>
    <w:tblPr>
      <w:tblStyleRowBandSize w:val="1"/>
      <w:tblStyleColBandSize w:val="1"/>
      <w:tblBorders>
        <w:top w:val="single" w:sz="4" w:space="0" w:color="99979E" w:themeColor="accent6" w:themeTint="99"/>
        <w:left w:val="single" w:sz="4" w:space="0" w:color="99979E" w:themeColor="accent6" w:themeTint="99"/>
        <w:bottom w:val="single" w:sz="4" w:space="0" w:color="99979E" w:themeColor="accent6" w:themeTint="99"/>
        <w:right w:val="single" w:sz="4" w:space="0" w:color="99979E" w:themeColor="accent6" w:themeTint="99"/>
        <w:insideH w:val="single" w:sz="4" w:space="0" w:color="99979E" w:themeColor="accent6" w:themeTint="99"/>
      </w:tblBorders>
    </w:tblPr>
    <w:tblStylePr w:type="firstRow">
      <w:rPr>
        <w:b/>
        <w:bCs/>
        <w:color w:val="FFFFFF" w:themeColor="background1"/>
      </w:rPr>
      <w:tblPr/>
      <w:tcPr>
        <w:tcBorders>
          <w:top w:val="single" w:sz="4" w:space="0" w:color="57555B" w:themeColor="accent6"/>
          <w:left w:val="single" w:sz="4" w:space="0" w:color="57555B" w:themeColor="accent6"/>
          <w:bottom w:val="single" w:sz="4" w:space="0" w:color="57555B" w:themeColor="accent6"/>
          <w:right w:val="single" w:sz="4" w:space="0" w:color="57555B" w:themeColor="accent6"/>
          <w:insideH w:val="nil"/>
        </w:tcBorders>
        <w:shd w:val="clear" w:color="auto" w:fill="57555B" w:themeFill="accent6"/>
      </w:tcPr>
    </w:tblStylePr>
    <w:tblStylePr w:type="lastRow">
      <w:rPr>
        <w:b/>
        <w:bCs/>
      </w:rPr>
      <w:tblPr/>
      <w:tcPr>
        <w:tcBorders>
          <w:top w:val="double" w:sz="4" w:space="0" w:color="99979E" w:themeColor="accent6" w:themeTint="99"/>
        </w:tcBorders>
      </w:tcPr>
    </w:tblStylePr>
    <w:tblStylePr w:type="firstCol">
      <w:rPr>
        <w:b/>
        <w:bCs/>
      </w:rPr>
    </w:tblStylePr>
    <w:tblStylePr w:type="lastCol">
      <w:rPr>
        <w:b/>
        <w:bCs/>
      </w:rPr>
    </w:tblStylePr>
    <w:tblStylePr w:type="band1Vert">
      <w:tblPr/>
      <w:tcPr>
        <w:shd w:val="clear" w:color="auto" w:fill="DDDCDE" w:themeFill="accent6" w:themeFillTint="33"/>
      </w:tcPr>
    </w:tblStylePr>
    <w:tblStylePr w:type="band1Horz">
      <w:tblPr/>
      <w:tcPr>
        <w:shd w:val="clear" w:color="auto" w:fill="DDDCDE" w:themeFill="accent6" w:themeFillTint="33"/>
      </w:tcPr>
    </w:tblStylePr>
  </w:style>
  <w:style w:type="table" w:customStyle="1" w:styleId="ListTable7Colorful-Accent61">
    <w:name w:val="List Table 7 Colorful - Accent 61"/>
    <w:basedOn w:val="TableNormal"/>
    <w:uiPriority w:val="52"/>
    <w:rsid w:val="00FA117D"/>
    <w:rPr>
      <w:color w:val="413F4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555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555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555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555B" w:themeColor="accent6"/>
        </w:tcBorders>
        <w:shd w:val="clear" w:color="auto" w:fill="FFFFFF" w:themeFill="background1"/>
      </w:tcPr>
    </w:tblStylePr>
    <w:tblStylePr w:type="band1Vert">
      <w:tblPr/>
      <w:tcPr>
        <w:shd w:val="clear" w:color="auto" w:fill="DDDCDE" w:themeFill="accent6" w:themeFillTint="33"/>
      </w:tcPr>
    </w:tblStylePr>
    <w:tblStylePr w:type="band1Horz">
      <w:tblPr/>
      <w:tcPr>
        <w:shd w:val="clear" w:color="auto" w:fill="DDDC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A117D"/>
    <w:rPr>
      <w:color w:val="BD15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3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3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3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3273" w:themeColor="accent5"/>
        </w:tcBorders>
        <w:shd w:val="clear" w:color="auto" w:fill="FFFFFF" w:themeFill="background1"/>
      </w:tcPr>
    </w:tblStylePr>
    <w:tblStylePr w:type="band1Vert">
      <w:tblPr/>
      <w:tcPr>
        <w:shd w:val="clear" w:color="auto" w:fill="FAD5E2" w:themeFill="accent5" w:themeFillTint="33"/>
      </w:tcPr>
    </w:tblStylePr>
    <w:tblStylePr w:type="band1Horz">
      <w:tblPr/>
      <w:tcPr>
        <w:shd w:val="clear" w:color="auto" w:fill="FAD5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FA117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rsid w:val="00FA117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FA117D"/>
    <w:tblPr>
      <w:tblStyleRowBandSize w:val="1"/>
      <w:tblStyleColBandSize w:val="1"/>
      <w:tblBorders>
        <w:top w:val="single" w:sz="2" w:space="0" w:color="99979E" w:themeColor="accent6" w:themeTint="99"/>
        <w:bottom w:val="single" w:sz="2" w:space="0" w:color="99979E" w:themeColor="accent6" w:themeTint="99"/>
        <w:insideH w:val="single" w:sz="2" w:space="0" w:color="99979E" w:themeColor="accent6" w:themeTint="99"/>
        <w:insideV w:val="single" w:sz="2" w:space="0" w:color="99979E" w:themeColor="accent6" w:themeTint="99"/>
      </w:tblBorders>
    </w:tblPr>
    <w:tblStylePr w:type="firstRow">
      <w:rPr>
        <w:b/>
        <w:bCs/>
      </w:rPr>
      <w:tblPr/>
      <w:tcPr>
        <w:tcBorders>
          <w:top w:val="nil"/>
          <w:bottom w:val="single" w:sz="12" w:space="0" w:color="99979E" w:themeColor="accent6" w:themeTint="99"/>
          <w:insideH w:val="nil"/>
          <w:insideV w:val="nil"/>
        </w:tcBorders>
        <w:shd w:val="clear" w:color="auto" w:fill="FFFFFF" w:themeFill="background1"/>
      </w:tcPr>
    </w:tblStylePr>
    <w:tblStylePr w:type="lastRow">
      <w:rPr>
        <w:b/>
        <w:bCs/>
      </w:rPr>
      <w:tblPr/>
      <w:tcPr>
        <w:tcBorders>
          <w:top w:val="double" w:sz="2" w:space="0" w:color="9997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CDE" w:themeFill="accent6" w:themeFillTint="33"/>
      </w:tcPr>
    </w:tblStylePr>
    <w:tblStylePr w:type="band1Horz">
      <w:tblPr/>
      <w:tcPr>
        <w:shd w:val="clear" w:color="auto" w:fill="DDDCDE" w:themeFill="accent6" w:themeFillTint="33"/>
      </w:tcPr>
    </w:tblStylePr>
  </w:style>
  <w:style w:type="paragraph" w:styleId="Header">
    <w:name w:val="header"/>
    <w:basedOn w:val="Normal"/>
    <w:link w:val="HeaderChar"/>
    <w:uiPriority w:val="99"/>
    <w:unhideWhenUsed/>
    <w:rsid w:val="00232716"/>
    <w:pPr>
      <w:tabs>
        <w:tab w:val="center" w:pos="4513"/>
        <w:tab w:val="right" w:pos="9026"/>
      </w:tabs>
    </w:pPr>
  </w:style>
  <w:style w:type="character" w:customStyle="1" w:styleId="HeaderChar">
    <w:name w:val="Header Char"/>
    <w:basedOn w:val="DefaultParagraphFont"/>
    <w:link w:val="Header"/>
    <w:uiPriority w:val="99"/>
    <w:rsid w:val="00232716"/>
    <w:rPr>
      <w:rFonts w:eastAsia="Calibri" w:cs="Arial"/>
      <w:szCs w:val="22"/>
    </w:rPr>
  </w:style>
  <w:style w:type="paragraph" w:styleId="Footer">
    <w:name w:val="footer"/>
    <w:basedOn w:val="Normal"/>
    <w:link w:val="FooterChar"/>
    <w:uiPriority w:val="99"/>
    <w:unhideWhenUsed/>
    <w:rsid w:val="00232716"/>
    <w:pPr>
      <w:tabs>
        <w:tab w:val="center" w:pos="4513"/>
        <w:tab w:val="right" w:pos="9026"/>
      </w:tabs>
    </w:pPr>
  </w:style>
  <w:style w:type="character" w:customStyle="1" w:styleId="FooterChar">
    <w:name w:val="Footer Char"/>
    <w:basedOn w:val="DefaultParagraphFont"/>
    <w:link w:val="Footer"/>
    <w:uiPriority w:val="99"/>
    <w:rsid w:val="00232716"/>
    <w:rPr>
      <w:rFonts w:eastAsia="Calibri" w:cs="Arial"/>
      <w:szCs w:val="22"/>
    </w:rPr>
  </w:style>
  <w:style w:type="paragraph" w:customStyle="1" w:styleId="Default">
    <w:name w:val="Default"/>
    <w:rsid w:val="00430292"/>
    <w:pPr>
      <w:autoSpaceDE w:val="0"/>
      <w:autoSpaceDN w:val="0"/>
      <w:adjustRightInd w:val="0"/>
    </w:pPr>
    <w:rPr>
      <w:rFonts w:ascii="Arial" w:eastAsia="Times New Roman" w:hAnsi="Arial" w:cs="Arial"/>
      <w:color w:val="000000"/>
      <w:lang w:eastAsia="en-GB"/>
    </w:rPr>
  </w:style>
  <w:style w:type="paragraph" w:styleId="ListParagraph">
    <w:name w:val="List Paragraph"/>
    <w:basedOn w:val="Normal"/>
    <w:uiPriority w:val="34"/>
    <w:qFormat/>
    <w:rsid w:val="00797CE4"/>
    <w:pPr>
      <w:ind w:left="720"/>
      <w:contextualSpacing/>
    </w:pPr>
  </w:style>
  <w:style w:type="character" w:customStyle="1" w:styleId="Heading3Char">
    <w:name w:val="Heading 3 Char"/>
    <w:basedOn w:val="DefaultParagraphFont"/>
    <w:link w:val="Heading3"/>
    <w:uiPriority w:val="9"/>
    <w:rsid w:val="00797CE4"/>
    <w:rPr>
      <w:rFonts w:asciiTheme="majorHAnsi" w:eastAsiaTheme="majorEastAsia" w:hAnsiTheme="majorHAnsi" w:cstheme="majorBidi"/>
      <w:color w:val="00B3BC" w:themeColor="accent1"/>
    </w:rPr>
  </w:style>
  <w:style w:type="character" w:styleId="PageNumber">
    <w:name w:val="page number"/>
    <w:basedOn w:val="DefaultParagraphFont"/>
    <w:semiHidden/>
    <w:unhideWhenUsed/>
    <w:rsid w:val="00160D82"/>
  </w:style>
  <w:style w:type="paragraph" w:styleId="BodyText3">
    <w:name w:val="Body Text 3"/>
    <w:basedOn w:val="Normal"/>
    <w:link w:val="BodyText3Char"/>
    <w:rsid w:val="00BF426A"/>
    <w:pPr>
      <w:jc w:val="center"/>
    </w:pPr>
    <w:rPr>
      <w:rFonts w:ascii="Arial" w:eastAsia="Times New Roman" w:hAnsi="Arial" w:cs="Times New Roman"/>
      <w:b/>
      <w:sz w:val="24"/>
      <w:szCs w:val="20"/>
      <w:lang w:eastAsia="en-GB"/>
    </w:rPr>
  </w:style>
  <w:style w:type="character" w:customStyle="1" w:styleId="BodyText3Char">
    <w:name w:val="Body Text 3 Char"/>
    <w:basedOn w:val="DefaultParagraphFont"/>
    <w:link w:val="BodyText3"/>
    <w:rsid w:val="00BF426A"/>
    <w:rPr>
      <w:rFonts w:ascii="Arial" w:eastAsia="Times New Roman" w:hAnsi="Arial" w:cs="Times New Roman"/>
      <w:b/>
      <w:szCs w:val="20"/>
      <w:lang w:eastAsia="en-GB"/>
    </w:rPr>
  </w:style>
  <w:style w:type="table" w:styleId="TableContemporary">
    <w:name w:val="Table Contemporary"/>
    <w:basedOn w:val="TableNormal"/>
    <w:rsid w:val="00BF426A"/>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BF426A"/>
    <w:rPr>
      <w:rFonts w:ascii="Tahoma" w:hAnsi="Tahoma" w:cs="Tahoma"/>
      <w:sz w:val="16"/>
      <w:szCs w:val="16"/>
    </w:rPr>
  </w:style>
  <w:style w:type="character" w:customStyle="1" w:styleId="BalloonTextChar">
    <w:name w:val="Balloon Text Char"/>
    <w:basedOn w:val="DefaultParagraphFont"/>
    <w:link w:val="BalloonText"/>
    <w:uiPriority w:val="99"/>
    <w:semiHidden/>
    <w:rsid w:val="00BF426A"/>
    <w:rPr>
      <w:rFonts w:ascii="Tahoma" w:eastAsia="Calibri" w:hAnsi="Tahoma" w:cs="Tahoma"/>
      <w:sz w:val="16"/>
      <w:szCs w:val="16"/>
    </w:rPr>
  </w:style>
  <w:style w:type="character" w:customStyle="1" w:styleId="Heading4Char">
    <w:name w:val="Heading 4 Char"/>
    <w:basedOn w:val="DefaultParagraphFont"/>
    <w:link w:val="Heading4"/>
    <w:uiPriority w:val="9"/>
    <w:semiHidden/>
    <w:rsid w:val="00C67E00"/>
    <w:rPr>
      <w:rFonts w:asciiTheme="majorHAnsi" w:eastAsiaTheme="majorEastAsia" w:hAnsiTheme="majorHAnsi" w:cstheme="majorBidi"/>
      <w:b/>
      <w:bCs/>
      <w:i/>
      <w:iCs/>
      <w:color w:val="00B3BC" w:themeColor="accent1"/>
      <w:sz w:val="22"/>
      <w:szCs w:val="22"/>
    </w:rPr>
  </w:style>
  <w:style w:type="paragraph" w:styleId="TOC1">
    <w:name w:val="toc 1"/>
    <w:basedOn w:val="Normal"/>
    <w:next w:val="Normal"/>
    <w:autoRedefine/>
    <w:uiPriority w:val="39"/>
    <w:rsid w:val="00C67E00"/>
    <w:pPr>
      <w:spacing w:before="120" w:after="120"/>
    </w:pPr>
    <w:rPr>
      <w:rFonts w:ascii="Arial" w:eastAsia="Times New Roman" w:hAnsi="Arial" w:cs="Times New Roman"/>
      <w:sz w:val="24"/>
      <w:szCs w:val="20"/>
      <w:lang w:eastAsia="zh-CN"/>
    </w:rPr>
  </w:style>
  <w:style w:type="character" w:styleId="Hyperlink">
    <w:name w:val="Hyperlink"/>
    <w:basedOn w:val="DefaultParagraphFont"/>
    <w:uiPriority w:val="99"/>
    <w:rsid w:val="00C67E00"/>
    <w:rPr>
      <w:rFonts w:cs="Times New Roman"/>
      <w:color w:val="0000FF"/>
      <w:u w:val="single"/>
    </w:rPr>
  </w:style>
  <w:style w:type="paragraph" w:customStyle="1" w:styleId="NumberedListcat">
    <w:name w:val="Numbered List (cat)"/>
    <w:basedOn w:val="Normal"/>
    <w:semiHidden/>
    <w:rsid w:val="00C67E00"/>
    <w:pPr>
      <w:numPr>
        <w:numId w:val="13"/>
      </w:numPr>
      <w:spacing w:before="120" w:after="120"/>
    </w:pPr>
    <w:rPr>
      <w:rFonts w:ascii="Arial" w:eastAsia="Times New Roman" w:hAnsi="Arial" w:cs="Times New Roman"/>
      <w:sz w:val="24"/>
      <w:szCs w:val="20"/>
      <w:lang w:eastAsia="zh-CN"/>
    </w:rPr>
  </w:style>
  <w:style w:type="paragraph" w:customStyle="1" w:styleId="Paragraphcat">
    <w:name w:val="Paragraph (cat)"/>
    <w:basedOn w:val="NumberedListcat"/>
    <w:rsid w:val="00C67E00"/>
    <w:rPr>
      <w:rFonts w:cs="Arial"/>
      <w:szCs w:val="24"/>
    </w:rPr>
  </w:style>
  <w:style w:type="paragraph" w:customStyle="1" w:styleId="Paragrah2cat">
    <w:name w:val="Paragrah 2 (cat)"/>
    <w:basedOn w:val="NumberedListcat"/>
    <w:next w:val="Paragraphcat"/>
    <w:rsid w:val="00C67E00"/>
    <w:pPr>
      <w:numPr>
        <w:numId w:val="14"/>
      </w:numPr>
    </w:pPr>
  </w:style>
  <w:style w:type="paragraph" w:customStyle="1" w:styleId="Paragraph3cat">
    <w:name w:val="Paragraph 3 (cat)"/>
    <w:basedOn w:val="Paragraphcat"/>
    <w:qFormat/>
    <w:rsid w:val="001F2775"/>
    <w:pPr>
      <w:numPr>
        <w:numId w:val="16"/>
      </w:numPr>
    </w:pPr>
  </w:style>
  <w:style w:type="table" w:styleId="TableList8">
    <w:name w:val="Table List 8"/>
    <w:basedOn w:val="TableNormal"/>
    <w:rsid w:val="001F2775"/>
    <w:pPr>
      <w:spacing w:before="120" w:after="120"/>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GridTable6Colorful-Accent1">
    <w:name w:val="Grid Table 6 Colorful Accent 1"/>
    <w:basedOn w:val="TableNormal"/>
    <w:uiPriority w:val="51"/>
    <w:rsid w:val="001B6B2F"/>
    <w:rPr>
      <w:color w:val="00858C" w:themeColor="accent1" w:themeShade="BF"/>
    </w:rPr>
    <w:tblPr>
      <w:tblStyleRowBandSize w:val="1"/>
      <w:tblStyleColBandSize w:val="1"/>
      <w:tblBorders>
        <w:top w:val="single" w:sz="4" w:space="0" w:color="3DF5FF" w:themeColor="accent1" w:themeTint="99"/>
        <w:left w:val="single" w:sz="4" w:space="0" w:color="3DF5FF" w:themeColor="accent1" w:themeTint="99"/>
        <w:bottom w:val="single" w:sz="4" w:space="0" w:color="3DF5FF" w:themeColor="accent1" w:themeTint="99"/>
        <w:right w:val="single" w:sz="4" w:space="0" w:color="3DF5FF" w:themeColor="accent1" w:themeTint="99"/>
        <w:insideH w:val="single" w:sz="4" w:space="0" w:color="3DF5FF" w:themeColor="accent1" w:themeTint="99"/>
        <w:insideV w:val="single" w:sz="4" w:space="0" w:color="3DF5FF" w:themeColor="accent1" w:themeTint="99"/>
      </w:tblBorders>
    </w:tblPr>
    <w:tblStylePr w:type="firstRow">
      <w:rPr>
        <w:b/>
        <w:bCs/>
      </w:rPr>
      <w:tblPr/>
      <w:tcPr>
        <w:tcBorders>
          <w:bottom w:val="single" w:sz="12" w:space="0" w:color="3DF5FF" w:themeColor="accent1" w:themeTint="99"/>
        </w:tcBorders>
      </w:tcPr>
    </w:tblStylePr>
    <w:tblStylePr w:type="lastRow">
      <w:rPr>
        <w:b/>
        <w:bCs/>
      </w:rPr>
      <w:tblPr/>
      <w:tcPr>
        <w:tcBorders>
          <w:top w:val="double" w:sz="4" w:space="0" w:color="3DF5FF" w:themeColor="accent1" w:themeTint="99"/>
        </w:tcBorders>
      </w:tcPr>
    </w:tblStylePr>
    <w:tblStylePr w:type="firstCol">
      <w:rPr>
        <w:b/>
        <w:bCs/>
      </w:rPr>
    </w:tblStylePr>
    <w:tblStylePr w:type="lastCol">
      <w:rPr>
        <w:b/>
        <w:bCs/>
      </w:rPr>
    </w:tblStylePr>
    <w:tblStylePr w:type="band1Vert">
      <w:tblPr/>
      <w:tcPr>
        <w:shd w:val="clear" w:color="auto" w:fill="BEFBFF" w:themeFill="accent1" w:themeFillTint="33"/>
      </w:tcPr>
    </w:tblStylePr>
    <w:tblStylePr w:type="band1Horz">
      <w:tblPr/>
      <w:tcPr>
        <w:shd w:val="clear" w:color="auto" w:fill="BEFB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oplar_HARCA_1.1">
  <a:themeElements>
    <a:clrScheme name="Custom 5">
      <a:dk1>
        <a:srgbClr val="000000"/>
      </a:dk1>
      <a:lt1>
        <a:srgbClr val="FFFFFF"/>
      </a:lt1>
      <a:dk2>
        <a:srgbClr val="57555B"/>
      </a:dk2>
      <a:lt2>
        <a:srgbClr val="E7E6E6"/>
      </a:lt2>
      <a:accent1>
        <a:srgbClr val="00B3BC"/>
      </a:accent1>
      <a:accent2>
        <a:srgbClr val="95C11F"/>
      </a:accent2>
      <a:accent3>
        <a:srgbClr val="FBBA00"/>
      </a:accent3>
      <a:accent4>
        <a:srgbClr val="EF7D00"/>
      </a:accent4>
      <a:accent5>
        <a:srgbClr val="E83273"/>
      </a:accent5>
      <a:accent6>
        <a:srgbClr val="57555B"/>
      </a:accent6>
      <a:hlink>
        <a:srgbClr val="00B2BC"/>
      </a:hlink>
      <a:folHlink>
        <a:srgbClr val="E83173"/>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plar_HARCA_1.1" id="{FE71F742-D2D7-C54F-8F39-A049A00A8B3A}" vid="{B2AB8A26-54C3-6F44-8504-944FF61990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6E60FB-8A47-49B4-B5BC-1B2E9F77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Williams</cp:lastModifiedBy>
  <cp:revision>2</cp:revision>
  <cp:lastPrinted>2017-01-19T10:56:00Z</cp:lastPrinted>
  <dcterms:created xsi:type="dcterms:W3CDTF">2018-08-23T08:53:00Z</dcterms:created>
  <dcterms:modified xsi:type="dcterms:W3CDTF">2018-08-23T08:53:00Z</dcterms:modified>
</cp:coreProperties>
</file>